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仿宋" w:hAnsi="仿宋" w:eastAsia="仿宋" w:cs="Arial"/>
          <w:bCs/>
          <w:sz w:val="32"/>
          <w:szCs w:val="32"/>
        </w:rPr>
      </w:pPr>
    </w:p>
    <w:p>
      <w:pPr>
        <w:spacing w:line="576" w:lineRule="exact"/>
        <w:jc w:val="center"/>
        <w:rPr>
          <w:rFonts w:ascii="仿宋" w:hAnsi="仿宋" w:eastAsia="仿宋" w:cs="Arial"/>
          <w:bCs/>
          <w:sz w:val="32"/>
          <w:szCs w:val="32"/>
        </w:rPr>
      </w:pPr>
    </w:p>
    <w:p>
      <w:pPr>
        <w:spacing w:line="576" w:lineRule="exact"/>
        <w:rPr>
          <w:rFonts w:ascii="黑体" w:hAnsi="黑体" w:eastAsia="黑体" w:cs="Arial"/>
          <w:b/>
          <w:bCs/>
          <w:sz w:val="44"/>
          <w:szCs w:val="44"/>
        </w:rPr>
      </w:pPr>
    </w:p>
    <w:p>
      <w:pPr>
        <w:spacing w:line="576" w:lineRule="exact"/>
        <w:jc w:val="center"/>
        <w:rPr>
          <w:rFonts w:ascii="黑体" w:hAnsi="黑体" w:eastAsia="黑体" w:cs="Arial"/>
          <w:b/>
          <w:bCs/>
          <w:sz w:val="44"/>
          <w:szCs w:val="44"/>
        </w:rPr>
      </w:pPr>
    </w:p>
    <w:p>
      <w:pPr>
        <w:spacing w:line="576" w:lineRule="exact"/>
        <w:jc w:val="center"/>
        <w:rPr>
          <w:rFonts w:ascii="方正小标宋简体" w:hAnsi="黑体" w:eastAsia="方正小标宋简体" w:cs="Arial"/>
          <w:b/>
          <w:bCs/>
          <w:sz w:val="44"/>
          <w:szCs w:val="44"/>
        </w:rPr>
      </w:pPr>
      <w:r>
        <w:rPr>
          <w:rFonts w:hint="eastAsia" w:ascii="方正小标宋简体" w:hAnsi="方正小标宋简体" w:eastAsia="方正小标宋简体" w:cs="方正小标宋简体"/>
          <w:b/>
          <w:bCs/>
          <w:sz w:val="44"/>
          <w:szCs w:val="44"/>
        </w:rPr>
        <w:t>阳江高新区食品药品安全“十三五”规划</w:t>
      </w:r>
    </w:p>
    <w:p>
      <w:pPr>
        <w:spacing w:line="576" w:lineRule="exact"/>
        <w:jc w:val="center"/>
        <w:rPr>
          <w:rFonts w:ascii="仿宋" w:hAnsi="仿宋" w:eastAsia="仿宋" w:cs="仿宋"/>
          <w:sz w:val="32"/>
          <w:szCs w:val="32"/>
        </w:rPr>
      </w:pPr>
      <w:r>
        <w:rPr>
          <w:rFonts w:hint="eastAsia" w:ascii="仿宋" w:hAnsi="仿宋" w:eastAsia="仿宋" w:cs="仿宋"/>
          <w:sz w:val="32"/>
          <w:szCs w:val="32"/>
        </w:rPr>
        <w:t>（2016—2020年）</w:t>
      </w:r>
    </w:p>
    <w:p>
      <w:pPr>
        <w:spacing w:line="576" w:lineRule="exact"/>
        <w:jc w:val="both"/>
        <w:rPr>
          <w:rFonts w:ascii="黑体" w:hAnsi="黑体" w:eastAsia="黑体" w:cs="Arial"/>
          <w:b/>
          <w:bCs/>
          <w:sz w:val="44"/>
          <w:szCs w:val="44"/>
        </w:rPr>
      </w:pPr>
    </w:p>
    <w:p>
      <w:pPr>
        <w:spacing w:line="576" w:lineRule="exact"/>
        <w:jc w:val="center"/>
        <w:rPr>
          <w:rFonts w:ascii="黑体" w:hAnsi="黑体" w:eastAsia="黑体" w:cs="Arial"/>
          <w:b/>
          <w:bCs/>
          <w:sz w:val="44"/>
          <w:szCs w:val="44"/>
        </w:rPr>
      </w:pPr>
    </w:p>
    <w:p>
      <w:pPr>
        <w:spacing w:line="576" w:lineRule="exact"/>
        <w:jc w:val="center"/>
        <w:rPr>
          <w:rFonts w:ascii="黑体" w:hAnsi="黑体" w:eastAsia="黑体" w:cs="Arial"/>
          <w:b/>
          <w:bCs/>
          <w:sz w:val="44"/>
          <w:szCs w:val="44"/>
        </w:rPr>
      </w:pPr>
    </w:p>
    <w:p>
      <w:pPr>
        <w:spacing w:line="576" w:lineRule="exact"/>
        <w:jc w:val="center"/>
        <w:rPr>
          <w:rFonts w:ascii="黑体" w:hAnsi="黑体" w:eastAsia="黑体" w:cs="Arial"/>
          <w:b/>
          <w:bCs/>
          <w:sz w:val="44"/>
          <w:szCs w:val="44"/>
        </w:rPr>
      </w:pPr>
    </w:p>
    <w:p>
      <w:pPr>
        <w:spacing w:line="576" w:lineRule="exact"/>
        <w:jc w:val="center"/>
        <w:rPr>
          <w:rFonts w:ascii="黑体" w:hAnsi="黑体" w:eastAsia="黑体" w:cs="Arial"/>
          <w:b/>
          <w:bCs/>
          <w:sz w:val="44"/>
          <w:szCs w:val="44"/>
        </w:rPr>
      </w:pPr>
    </w:p>
    <w:p>
      <w:pPr>
        <w:spacing w:line="576" w:lineRule="exact"/>
        <w:jc w:val="center"/>
        <w:rPr>
          <w:rFonts w:ascii="黑体" w:hAnsi="黑体" w:eastAsia="黑体" w:cs="Arial"/>
          <w:b/>
          <w:bCs/>
          <w:sz w:val="44"/>
          <w:szCs w:val="44"/>
        </w:rPr>
      </w:pPr>
    </w:p>
    <w:p>
      <w:pPr>
        <w:spacing w:line="576" w:lineRule="exact"/>
        <w:jc w:val="center"/>
        <w:rPr>
          <w:rFonts w:ascii="黑体" w:hAnsi="黑体" w:eastAsia="黑体" w:cs="Arial"/>
          <w:b/>
          <w:bCs/>
          <w:sz w:val="44"/>
          <w:szCs w:val="44"/>
        </w:rPr>
      </w:pPr>
    </w:p>
    <w:p>
      <w:pPr>
        <w:spacing w:line="576" w:lineRule="exact"/>
        <w:jc w:val="center"/>
        <w:rPr>
          <w:rFonts w:ascii="黑体" w:hAnsi="黑体" w:eastAsia="黑体" w:cs="Arial"/>
          <w:b/>
          <w:bCs/>
          <w:sz w:val="44"/>
          <w:szCs w:val="44"/>
        </w:rPr>
      </w:pPr>
    </w:p>
    <w:p>
      <w:pPr>
        <w:spacing w:line="576" w:lineRule="exact"/>
        <w:jc w:val="center"/>
        <w:rPr>
          <w:rFonts w:ascii="黑体" w:hAnsi="黑体" w:eastAsia="黑体" w:cs="Arial"/>
          <w:b/>
          <w:bCs/>
          <w:sz w:val="44"/>
          <w:szCs w:val="44"/>
        </w:rPr>
      </w:pPr>
    </w:p>
    <w:p>
      <w:pPr>
        <w:spacing w:line="576" w:lineRule="exact"/>
        <w:jc w:val="center"/>
        <w:rPr>
          <w:rFonts w:ascii="黑体" w:hAnsi="黑体" w:eastAsia="黑体" w:cs="Arial"/>
          <w:b/>
          <w:bCs/>
          <w:sz w:val="44"/>
          <w:szCs w:val="44"/>
        </w:rPr>
      </w:pPr>
    </w:p>
    <w:p>
      <w:pPr>
        <w:spacing w:line="576" w:lineRule="exact"/>
        <w:rPr>
          <w:rFonts w:ascii="黑体" w:hAnsi="黑体" w:eastAsia="黑体" w:cs="Arial"/>
          <w:b/>
          <w:bCs/>
          <w:sz w:val="44"/>
          <w:szCs w:val="44"/>
        </w:rPr>
      </w:pPr>
    </w:p>
    <w:p>
      <w:pPr>
        <w:spacing w:line="576" w:lineRule="exact"/>
        <w:jc w:val="center"/>
        <w:rPr>
          <w:rFonts w:hint="eastAsia" w:ascii="楷体" w:hAnsi="楷体" w:eastAsia="楷体" w:cs="楷体"/>
          <w:b/>
          <w:bCs/>
          <w:sz w:val="44"/>
          <w:szCs w:val="44"/>
          <w:lang w:eastAsia="zh-CN"/>
        </w:rPr>
      </w:pPr>
      <w:r>
        <w:rPr>
          <w:rFonts w:hint="eastAsia" w:ascii="楷体" w:hAnsi="楷体" w:eastAsia="楷体" w:cs="楷体"/>
          <w:b/>
          <w:bCs/>
          <w:sz w:val="44"/>
          <w:szCs w:val="44"/>
        </w:rPr>
        <w:t>阳江高新区</w:t>
      </w:r>
      <w:r>
        <w:rPr>
          <w:rFonts w:hint="eastAsia" w:ascii="楷体" w:hAnsi="楷体" w:eastAsia="楷体" w:cs="楷体"/>
          <w:b/>
          <w:bCs/>
          <w:sz w:val="44"/>
          <w:szCs w:val="44"/>
          <w:lang w:eastAsia="zh-CN"/>
        </w:rPr>
        <w:t>管委会</w:t>
      </w:r>
    </w:p>
    <w:p>
      <w:pPr>
        <w:spacing w:line="576" w:lineRule="exact"/>
        <w:jc w:val="center"/>
        <w:rPr>
          <w:rFonts w:ascii="楷体" w:hAnsi="楷体" w:eastAsia="楷体" w:cs="楷体"/>
          <w:b/>
          <w:bCs/>
          <w:sz w:val="44"/>
          <w:szCs w:val="44"/>
        </w:rPr>
      </w:pPr>
      <w:r>
        <w:rPr>
          <w:rFonts w:hint="eastAsia" w:ascii="楷体" w:hAnsi="楷体" w:eastAsia="楷体" w:cs="楷体"/>
          <w:b/>
          <w:bCs/>
          <w:sz w:val="44"/>
          <w:szCs w:val="44"/>
        </w:rPr>
        <w:t>2017年11月</w:t>
      </w:r>
    </w:p>
    <w:p>
      <w:pPr>
        <w:spacing w:line="576" w:lineRule="exact"/>
        <w:jc w:val="center"/>
        <w:rPr>
          <w:rFonts w:ascii="黑体" w:hAnsi="黑体" w:eastAsia="黑体" w:cs="Arial"/>
          <w:b/>
          <w:bCs/>
          <w:sz w:val="44"/>
          <w:szCs w:val="44"/>
        </w:rPr>
      </w:pPr>
    </w:p>
    <w:p>
      <w:pPr>
        <w:spacing w:line="576" w:lineRule="exact"/>
        <w:jc w:val="center"/>
        <w:rPr>
          <w:rFonts w:ascii="黑体" w:hAnsi="黑体" w:eastAsia="黑体" w:cs="Arial"/>
          <w:b/>
          <w:bCs/>
          <w:sz w:val="44"/>
          <w:szCs w:val="44"/>
        </w:rPr>
      </w:pPr>
    </w:p>
    <w:p>
      <w:pPr>
        <w:spacing w:line="576" w:lineRule="exact"/>
        <w:jc w:val="center"/>
        <w:rPr>
          <w:rFonts w:ascii="黑体" w:hAnsi="黑体" w:eastAsia="黑体" w:cs="Arial"/>
          <w:b/>
          <w:bCs/>
          <w:sz w:val="44"/>
          <w:szCs w:val="44"/>
        </w:rPr>
      </w:pPr>
      <w:bookmarkStart w:id="27" w:name="_GoBack"/>
      <w:bookmarkEnd w:id="27"/>
    </w:p>
    <w:p>
      <w:pPr>
        <w:spacing w:line="576" w:lineRule="exact"/>
        <w:jc w:val="center"/>
        <w:rPr>
          <w:rFonts w:ascii="黑体" w:hAnsi="黑体" w:eastAsia="黑体" w:cs="Arial"/>
          <w:b/>
          <w:bCs/>
          <w:sz w:val="44"/>
          <w:szCs w:val="44"/>
        </w:rPr>
      </w:pPr>
    </w:p>
    <w:p>
      <w:pPr>
        <w:spacing w:line="576" w:lineRule="exact"/>
        <w:jc w:val="center"/>
        <w:rPr>
          <w:rFonts w:ascii="黑体" w:hAnsi="黑体" w:eastAsia="黑体" w:cs="Arial"/>
          <w:b/>
          <w:bCs/>
          <w:sz w:val="44"/>
          <w:szCs w:val="44"/>
        </w:rPr>
      </w:pPr>
    </w:p>
    <w:p>
      <w:pPr>
        <w:spacing w:line="576" w:lineRule="exact"/>
        <w:jc w:val="center"/>
        <w:rPr>
          <w:rFonts w:ascii="仿宋" w:hAnsi="仿宋" w:eastAsia="仿宋" w:cs="仿宋"/>
          <w:b/>
          <w:bCs/>
          <w:sz w:val="44"/>
          <w:szCs w:val="44"/>
        </w:rPr>
      </w:pPr>
      <w:r>
        <w:rPr>
          <w:rFonts w:hint="eastAsia" w:ascii="仿宋" w:hAnsi="仿宋" w:eastAsia="仿宋" w:cs="仿宋"/>
          <w:b/>
          <w:bCs/>
          <w:sz w:val="44"/>
          <w:szCs w:val="44"/>
        </w:rPr>
        <w:t>目 录</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一、现状与形势</w:t>
      </w:r>
      <w:r>
        <w:rPr>
          <w:rFonts w:hint="eastAsia" w:ascii="仿宋" w:hAnsi="仿宋" w:eastAsia="仿宋" w:cs="仿宋"/>
          <w:kern w:val="2"/>
          <w:sz w:val="32"/>
          <w:szCs w:val="32"/>
        </w:rPr>
        <w:tab/>
      </w:r>
      <w:r>
        <w:rPr>
          <w:rFonts w:hint="eastAsia" w:ascii="仿宋" w:hAnsi="仿宋" w:eastAsia="仿宋" w:cs="仿宋"/>
          <w:kern w:val="2"/>
          <w:sz w:val="32"/>
          <w:szCs w:val="32"/>
        </w:rPr>
        <w:t>1</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（一）“十二五”食品药品监管情况</w:t>
      </w:r>
      <w:r>
        <w:rPr>
          <w:rFonts w:hint="eastAsia" w:ascii="仿宋" w:hAnsi="仿宋" w:eastAsia="仿宋" w:cs="仿宋"/>
          <w:kern w:val="2"/>
          <w:sz w:val="32"/>
          <w:szCs w:val="32"/>
        </w:rPr>
        <w:tab/>
      </w:r>
      <w:r>
        <w:rPr>
          <w:rFonts w:hint="eastAsia" w:ascii="仿宋" w:hAnsi="仿宋" w:eastAsia="仿宋" w:cs="仿宋"/>
          <w:kern w:val="2"/>
          <w:sz w:val="32"/>
          <w:szCs w:val="32"/>
        </w:rPr>
        <w:t>1</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（二）面临形势和存在问题</w:t>
      </w:r>
      <w:r>
        <w:rPr>
          <w:rFonts w:hint="eastAsia" w:ascii="仿宋" w:hAnsi="仿宋" w:eastAsia="仿宋" w:cs="仿宋"/>
          <w:kern w:val="2"/>
          <w:sz w:val="32"/>
          <w:szCs w:val="32"/>
        </w:rPr>
        <w:tab/>
      </w:r>
      <w:r>
        <w:rPr>
          <w:rFonts w:hint="eastAsia" w:ascii="仿宋" w:hAnsi="仿宋" w:eastAsia="仿宋" w:cs="仿宋"/>
          <w:kern w:val="2"/>
          <w:sz w:val="32"/>
          <w:szCs w:val="32"/>
        </w:rPr>
        <w:t>4</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二、“十三五”食品药品安全总体要求与主要目标</w:t>
      </w:r>
      <w:r>
        <w:rPr>
          <w:rFonts w:hint="eastAsia" w:ascii="仿宋" w:hAnsi="仿宋" w:eastAsia="仿宋" w:cs="仿宋"/>
          <w:kern w:val="2"/>
          <w:sz w:val="32"/>
          <w:szCs w:val="32"/>
        </w:rPr>
        <w:tab/>
      </w:r>
      <w:r>
        <w:rPr>
          <w:rFonts w:hint="eastAsia" w:ascii="仿宋" w:hAnsi="仿宋" w:eastAsia="仿宋" w:cs="仿宋"/>
          <w:kern w:val="2"/>
          <w:sz w:val="32"/>
          <w:szCs w:val="32"/>
        </w:rPr>
        <w:t>6</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（一）指导思想</w:t>
      </w:r>
      <w:r>
        <w:rPr>
          <w:rFonts w:hint="eastAsia" w:ascii="仿宋" w:hAnsi="仿宋" w:eastAsia="仿宋" w:cs="仿宋"/>
          <w:kern w:val="2"/>
          <w:sz w:val="32"/>
          <w:szCs w:val="32"/>
        </w:rPr>
        <w:tab/>
      </w:r>
      <w:r>
        <w:rPr>
          <w:rFonts w:hint="eastAsia" w:ascii="仿宋" w:hAnsi="仿宋" w:eastAsia="仿宋" w:cs="仿宋"/>
          <w:kern w:val="2"/>
          <w:sz w:val="32"/>
          <w:szCs w:val="32"/>
        </w:rPr>
        <w:t>6</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（二）基本原则</w:t>
      </w:r>
      <w:r>
        <w:rPr>
          <w:rFonts w:hint="eastAsia" w:ascii="仿宋" w:hAnsi="仿宋" w:eastAsia="仿宋" w:cs="仿宋"/>
          <w:kern w:val="2"/>
          <w:sz w:val="32"/>
          <w:szCs w:val="32"/>
        </w:rPr>
        <w:tab/>
      </w:r>
      <w:r>
        <w:rPr>
          <w:rFonts w:hint="eastAsia" w:ascii="仿宋" w:hAnsi="仿宋" w:eastAsia="仿宋" w:cs="仿宋"/>
          <w:kern w:val="2"/>
          <w:sz w:val="32"/>
          <w:szCs w:val="32"/>
        </w:rPr>
        <w:t>6</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（三）主要目标</w:t>
      </w:r>
      <w:r>
        <w:rPr>
          <w:rFonts w:hint="eastAsia" w:ascii="仿宋" w:hAnsi="仿宋" w:eastAsia="仿宋" w:cs="仿宋"/>
          <w:kern w:val="2"/>
          <w:sz w:val="32"/>
          <w:szCs w:val="32"/>
        </w:rPr>
        <w:tab/>
      </w:r>
      <w:r>
        <w:rPr>
          <w:rFonts w:hint="eastAsia" w:ascii="仿宋" w:hAnsi="仿宋" w:eastAsia="仿宋" w:cs="仿宋"/>
          <w:kern w:val="2"/>
          <w:sz w:val="32"/>
          <w:szCs w:val="32"/>
        </w:rPr>
        <w:t>7</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三、主要任务</w:t>
      </w:r>
      <w:r>
        <w:rPr>
          <w:rFonts w:hint="eastAsia" w:ascii="仿宋" w:hAnsi="仿宋" w:eastAsia="仿宋" w:cs="仿宋"/>
          <w:kern w:val="2"/>
          <w:sz w:val="32"/>
          <w:szCs w:val="32"/>
        </w:rPr>
        <w:tab/>
      </w:r>
      <w:r>
        <w:rPr>
          <w:rFonts w:hint="eastAsia" w:ascii="仿宋" w:hAnsi="仿宋" w:eastAsia="仿宋" w:cs="仿宋"/>
          <w:kern w:val="2"/>
          <w:sz w:val="32"/>
          <w:szCs w:val="32"/>
        </w:rPr>
        <w:t>8</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（一）建立权责明确的食品药品监管责任体系</w:t>
      </w:r>
      <w:r>
        <w:rPr>
          <w:rFonts w:hint="eastAsia" w:ascii="仿宋" w:hAnsi="仿宋" w:eastAsia="仿宋" w:cs="仿宋"/>
          <w:kern w:val="2"/>
          <w:sz w:val="32"/>
          <w:szCs w:val="32"/>
        </w:rPr>
        <w:tab/>
      </w:r>
      <w:r>
        <w:rPr>
          <w:rFonts w:hint="eastAsia" w:ascii="仿宋" w:hAnsi="仿宋" w:eastAsia="仿宋" w:cs="仿宋"/>
          <w:kern w:val="2"/>
          <w:sz w:val="32"/>
          <w:szCs w:val="32"/>
        </w:rPr>
        <w:t>8</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（二）建立健全统一权威的食品药品监管体系</w:t>
      </w:r>
      <w:r>
        <w:rPr>
          <w:rFonts w:hint="eastAsia" w:ascii="仿宋" w:hAnsi="仿宋" w:eastAsia="仿宋" w:cs="仿宋"/>
          <w:kern w:val="2"/>
          <w:sz w:val="32"/>
          <w:szCs w:val="32"/>
        </w:rPr>
        <w:tab/>
      </w:r>
      <w:r>
        <w:rPr>
          <w:rFonts w:hint="eastAsia" w:ascii="仿宋" w:hAnsi="仿宋" w:eastAsia="仿宋" w:cs="仿宋"/>
          <w:kern w:val="2"/>
          <w:sz w:val="32"/>
          <w:szCs w:val="32"/>
        </w:rPr>
        <w:t>9</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（三）构建食品药品全过程监管体系</w:t>
      </w:r>
      <w:r>
        <w:rPr>
          <w:rFonts w:hint="eastAsia" w:ascii="仿宋" w:hAnsi="仿宋" w:eastAsia="仿宋" w:cs="仿宋"/>
          <w:kern w:val="2"/>
          <w:sz w:val="32"/>
          <w:szCs w:val="32"/>
        </w:rPr>
        <w:tab/>
      </w:r>
      <w:r>
        <w:rPr>
          <w:rFonts w:hint="eastAsia" w:ascii="仿宋" w:hAnsi="仿宋" w:eastAsia="仿宋" w:cs="仿宋"/>
          <w:kern w:val="2"/>
          <w:sz w:val="32"/>
          <w:szCs w:val="32"/>
        </w:rPr>
        <w:t>10</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（四）构建科学权威的技术支撑体系</w:t>
      </w:r>
      <w:r>
        <w:rPr>
          <w:rFonts w:hint="eastAsia" w:ascii="仿宋" w:hAnsi="仿宋" w:eastAsia="仿宋" w:cs="仿宋"/>
          <w:kern w:val="2"/>
          <w:sz w:val="32"/>
          <w:szCs w:val="32"/>
        </w:rPr>
        <w:tab/>
      </w:r>
      <w:r>
        <w:rPr>
          <w:rFonts w:hint="eastAsia" w:ascii="仿宋" w:hAnsi="仿宋" w:eastAsia="仿宋" w:cs="仿宋"/>
          <w:kern w:val="2"/>
          <w:sz w:val="32"/>
          <w:szCs w:val="32"/>
        </w:rPr>
        <w:t>12</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（五）构建切实有效的社会共治体系</w:t>
      </w:r>
      <w:r>
        <w:rPr>
          <w:rFonts w:hint="eastAsia" w:ascii="仿宋" w:hAnsi="仿宋" w:eastAsia="仿宋" w:cs="仿宋"/>
          <w:kern w:val="2"/>
          <w:sz w:val="32"/>
          <w:szCs w:val="32"/>
        </w:rPr>
        <w:tab/>
      </w:r>
      <w:r>
        <w:rPr>
          <w:rFonts w:hint="eastAsia" w:ascii="仿宋" w:hAnsi="仿宋" w:eastAsia="仿宋" w:cs="仿宋"/>
          <w:kern w:val="2"/>
          <w:sz w:val="32"/>
          <w:szCs w:val="32"/>
        </w:rPr>
        <w:t>13</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四、</w:t>
      </w:r>
      <w:r>
        <w:rPr>
          <w:rFonts w:hint="eastAsia" w:ascii="仿宋" w:hAnsi="仿宋" w:eastAsia="仿宋" w:cs="仿宋"/>
          <w:kern w:val="2"/>
          <w:sz w:val="32"/>
          <w:szCs w:val="32"/>
          <w:lang w:eastAsia="zh-CN"/>
        </w:rPr>
        <w:t>基础设施配备与能力建设</w:t>
      </w:r>
      <w:r>
        <w:rPr>
          <w:rFonts w:hint="eastAsia" w:ascii="仿宋" w:hAnsi="仿宋" w:eastAsia="仿宋" w:cs="仿宋"/>
          <w:kern w:val="2"/>
          <w:sz w:val="32"/>
          <w:szCs w:val="32"/>
        </w:rPr>
        <w:tab/>
      </w:r>
      <w:r>
        <w:rPr>
          <w:rFonts w:hint="eastAsia" w:ascii="仿宋" w:hAnsi="仿宋" w:eastAsia="仿宋" w:cs="仿宋"/>
          <w:kern w:val="2"/>
          <w:sz w:val="32"/>
          <w:szCs w:val="32"/>
        </w:rPr>
        <w:t>14</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（一）技术支撑能力建设工程</w:t>
      </w:r>
      <w:r>
        <w:rPr>
          <w:rFonts w:hint="eastAsia" w:ascii="仿宋" w:hAnsi="仿宋" w:eastAsia="仿宋" w:cs="仿宋"/>
          <w:kern w:val="2"/>
          <w:sz w:val="32"/>
          <w:szCs w:val="32"/>
        </w:rPr>
        <w:tab/>
      </w:r>
      <w:r>
        <w:rPr>
          <w:rFonts w:hint="eastAsia" w:ascii="仿宋" w:hAnsi="仿宋" w:eastAsia="仿宋" w:cs="仿宋"/>
          <w:kern w:val="2"/>
          <w:sz w:val="32"/>
          <w:szCs w:val="32"/>
        </w:rPr>
        <w:t>14</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（二）人才队伍建设工程</w:t>
      </w:r>
      <w:r>
        <w:rPr>
          <w:rFonts w:hint="eastAsia" w:ascii="仿宋" w:hAnsi="仿宋" w:eastAsia="仿宋" w:cs="仿宋"/>
          <w:kern w:val="2"/>
          <w:sz w:val="32"/>
          <w:szCs w:val="32"/>
        </w:rPr>
        <w:tab/>
      </w:r>
      <w:r>
        <w:rPr>
          <w:rFonts w:hint="eastAsia" w:ascii="仿宋" w:hAnsi="仿宋" w:eastAsia="仿宋" w:cs="仿宋"/>
          <w:kern w:val="2"/>
          <w:sz w:val="32"/>
          <w:szCs w:val="32"/>
        </w:rPr>
        <w:t>14</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（三）执法装备达标工程</w:t>
      </w:r>
      <w:r>
        <w:rPr>
          <w:rFonts w:hint="eastAsia" w:ascii="仿宋" w:hAnsi="仿宋" w:eastAsia="仿宋" w:cs="仿宋"/>
          <w:kern w:val="2"/>
          <w:sz w:val="32"/>
          <w:szCs w:val="32"/>
        </w:rPr>
        <w:tab/>
      </w:r>
      <w:r>
        <w:rPr>
          <w:rFonts w:hint="eastAsia" w:ascii="仿宋" w:hAnsi="仿宋" w:eastAsia="仿宋" w:cs="仿宋"/>
          <w:kern w:val="2"/>
          <w:sz w:val="32"/>
          <w:szCs w:val="32"/>
        </w:rPr>
        <w:t>15</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（四）社会共治工程</w:t>
      </w:r>
      <w:r>
        <w:rPr>
          <w:rFonts w:hint="eastAsia" w:ascii="仿宋" w:hAnsi="仿宋" w:eastAsia="仿宋" w:cs="仿宋"/>
          <w:kern w:val="2"/>
          <w:sz w:val="32"/>
          <w:szCs w:val="32"/>
        </w:rPr>
        <w:tab/>
      </w:r>
      <w:r>
        <w:rPr>
          <w:rFonts w:hint="eastAsia" w:ascii="仿宋" w:hAnsi="仿宋" w:eastAsia="仿宋" w:cs="仿宋"/>
          <w:kern w:val="2"/>
          <w:sz w:val="32"/>
          <w:szCs w:val="32"/>
        </w:rPr>
        <w:t>15</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五、保障措施</w:t>
      </w:r>
      <w:r>
        <w:rPr>
          <w:rFonts w:hint="eastAsia" w:ascii="仿宋" w:hAnsi="仿宋" w:eastAsia="仿宋" w:cs="仿宋"/>
          <w:kern w:val="2"/>
          <w:sz w:val="32"/>
          <w:szCs w:val="32"/>
        </w:rPr>
        <w:tab/>
      </w:r>
      <w:r>
        <w:rPr>
          <w:rFonts w:hint="eastAsia" w:ascii="仿宋" w:hAnsi="仿宋" w:eastAsia="仿宋" w:cs="仿宋"/>
          <w:kern w:val="2"/>
          <w:sz w:val="32"/>
          <w:szCs w:val="32"/>
        </w:rPr>
        <w:t>15</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（一）加强组织领导</w:t>
      </w:r>
      <w:r>
        <w:rPr>
          <w:rFonts w:hint="eastAsia" w:ascii="仿宋" w:hAnsi="仿宋" w:eastAsia="仿宋" w:cs="仿宋"/>
          <w:kern w:val="2"/>
          <w:sz w:val="32"/>
          <w:szCs w:val="32"/>
        </w:rPr>
        <w:tab/>
      </w:r>
      <w:r>
        <w:rPr>
          <w:rFonts w:hint="eastAsia" w:ascii="仿宋" w:hAnsi="仿宋" w:eastAsia="仿宋" w:cs="仿宋"/>
          <w:kern w:val="2"/>
          <w:sz w:val="32"/>
          <w:szCs w:val="32"/>
        </w:rPr>
        <w:t>15</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（二）加大经费投入</w:t>
      </w:r>
      <w:r>
        <w:rPr>
          <w:rFonts w:hint="eastAsia" w:ascii="仿宋" w:hAnsi="仿宋" w:eastAsia="仿宋" w:cs="仿宋"/>
          <w:kern w:val="2"/>
          <w:sz w:val="32"/>
          <w:szCs w:val="32"/>
        </w:rPr>
        <w:tab/>
      </w:r>
      <w:r>
        <w:rPr>
          <w:rFonts w:hint="eastAsia" w:ascii="仿宋" w:hAnsi="仿宋" w:eastAsia="仿宋" w:cs="仿宋"/>
          <w:kern w:val="2"/>
          <w:sz w:val="32"/>
          <w:szCs w:val="32"/>
        </w:rPr>
        <w:t>16</w:t>
      </w:r>
    </w:p>
    <w:p>
      <w:pPr>
        <w:pStyle w:val="6"/>
        <w:tabs>
          <w:tab w:val="right" w:leader="dot" w:pos="8296"/>
        </w:tabs>
        <w:spacing w:line="460" w:lineRule="exact"/>
        <w:ind w:left="221"/>
        <w:rPr>
          <w:rFonts w:ascii="仿宋" w:hAnsi="仿宋" w:eastAsia="仿宋" w:cs="仿宋"/>
          <w:kern w:val="2"/>
          <w:sz w:val="32"/>
          <w:szCs w:val="32"/>
        </w:rPr>
      </w:pPr>
      <w:r>
        <w:rPr>
          <w:rFonts w:hint="eastAsia" w:ascii="仿宋" w:hAnsi="仿宋" w:eastAsia="仿宋" w:cs="仿宋"/>
          <w:kern w:val="2"/>
          <w:sz w:val="32"/>
          <w:szCs w:val="32"/>
        </w:rPr>
        <w:t>（三）严格考核评价</w:t>
      </w:r>
      <w:r>
        <w:rPr>
          <w:rFonts w:hint="eastAsia" w:ascii="仿宋" w:hAnsi="仿宋" w:eastAsia="仿宋" w:cs="仿宋"/>
          <w:kern w:val="2"/>
          <w:sz w:val="32"/>
          <w:szCs w:val="32"/>
        </w:rPr>
        <w:tab/>
      </w:r>
      <w:r>
        <w:rPr>
          <w:rFonts w:hint="eastAsia" w:ascii="仿宋" w:hAnsi="仿宋" w:eastAsia="仿宋" w:cs="仿宋"/>
          <w:kern w:val="2"/>
          <w:sz w:val="32"/>
          <w:szCs w:val="32"/>
        </w:rPr>
        <w:t>16</w:t>
      </w:r>
    </w:p>
    <w:p>
      <w:pPr>
        <w:spacing w:line="576" w:lineRule="exact"/>
        <w:jc w:val="center"/>
        <w:rPr>
          <w:rStyle w:val="8"/>
          <w:rFonts w:ascii="仿宋" w:hAnsi="仿宋" w:eastAsia="仿宋" w:cs="仿宋"/>
          <w:sz w:val="32"/>
          <w:szCs w:val="32"/>
        </w:rPr>
        <w:sectPr>
          <w:footerReference r:id="rId3" w:type="default"/>
          <w:footnotePr>
            <w:numRestart w:val="eachPage"/>
          </w:footnotePr>
          <w:pgSz w:w="11906" w:h="16838"/>
          <w:pgMar w:top="1440" w:right="1418" w:bottom="1418" w:left="1418" w:header="851" w:footer="992" w:gutter="0"/>
          <w:pgNumType w:start="1"/>
          <w:cols w:space="720" w:num="1"/>
          <w:docGrid w:type="lines" w:linePitch="312" w:charSpace="0"/>
        </w:sectPr>
      </w:pPr>
    </w:p>
    <w:p>
      <w:pPr>
        <w:spacing w:line="576" w:lineRule="exact"/>
        <w:jc w:val="center"/>
        <w:rPr>
          <w:rFonts w:ascii="宋体" w:hAnsi="宋体" w:cs="Arial"/>
          <w:b/>
          <w:bCs/>
          <w:sz w:val="44"/>
          <w:szCs w:val="44"/>
        </w:rPr>
      </w:pPr>
      <w:r>
        <w:rPr>
          <w:rFonts w:hint="eastAsia" w:ascii="宋体" w:hAnsi="宋体" w:cs="Arial"/>
          <w:b/>
          <w:bCs/>
          <w:sz w:val="44"/>
          <w:szCs w:val="44"/>
        </w:rPr>
        <w:t>阳江高新区食品药品安全“十三五”规划</w:t>
      </w:r>
    </w:p>
    <w:p>
      <w:pPr>
        <w:snapToGrid w:val="0"/>
        <w:spacing w:line="576" w:lineRule="exact"/>
        <w:outlineLvl w:val="0"/>
        <w:rPr>
          <w:rFonts w:eastAsia="黑体"/>
          <w:sz w:val="32"/>
          <w:szCs w:val="32"/>
        </w:rPr>
      </w:pPr>
    </w:p>
    <w:p>
      <w:pPr>
        <w:snapToGrid w:val="0"/>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食品药品安全事关人民群众生命安全和健康，是重大民生问题和公共安全问题，也是全面建成小康社会的重要保障。为加快完善食品药品安全现代化治理体系，提高食品药品（包括食品、药品、保健食品、医疗器械、化妆品等，下同）安全保障水平，推进平安高新区建设，保障人民群众饮食用药安全。按照国家、省、市委市政府和区</w:t>
      </w:r>
      <w:r>
        <w:rPr>
          <w:rFonts w:hint="eastAsia" w:ascii="仿宋" w:hAnsi="仿宋" w:eastAsia="仿宋" w:cs="仿宋"/>
          <w:kern w:val="0"/>
          <w:sz w:val="32"/>
          <w:szCs w:val="32"/>
          <w:lang w:eastAsia="zh-CN"/>
        </w:rPr>
        <w:t>党</w:t>
      </w:r>
      <w:r>
        <w:rPr>
          <w:rFonts w:hint="eastAsia" w:ascii="仿宋" w:hAnsi="仿宋" w:eastAsia="仿宋" w:cs="仿宋"/>
          <w:kern w:val="0"/>
          <w:sz w:val="32"/>
          <w:szCs w:val="32"/>
        </w:rPr>
        <w:t>委、区</w:t>
      </w:r>
      <w:r>
        <w:rPr>
          <w:rFonts w:hint="eastAsia" w:ascii="仿宋" w:hAnsi="仿宋" w:eastAsia="仿宋" w:cs="仿宋"/>
          <w:kern w:val="0"/>
          <w:sz w:val="32"/>
          <w:szCs w:val="32"/>
          <w:lang w:eastAsia="zh-CN"/>
        </w:rPr>
        <w:t>管委会</w:t>
      </w:r>
      <w:r>
        <w:rPr>
          <w:rFonts w:hint="eastAsia" w:ascii="仿宋" w:hAnsi="仿宋" w:eastAsia="仿宋" w:cs="仿宋"/>
          <w:kern w:val="0"/>
          <w:sz w:val="32"/>
          <w:szCs w:val="32"/>
        </w:rPr>
        <w:t>对食品药品安全工作的总体要求，依据</w:t>
      </w:r>
      <w:r>
        <w:rPr>
          <w:rFonts w:hint="eastAsia" w:ascii="仿宋" w:hAnsi="仿宋" w:eastAsia="仿宋" w:cs="仿宋"/>
          <w:sz w:val="32"/>
          <w:szCs w:val="32"/>
        </w:rPr>
        <w:t>《阳江市食品药品安全“十三五”规划》，</w:t>
      </w:r>
      <w:r>
        <w:rPr>
          <w:rFonts w:hint="eastAsia" w:ascii="仿宋" w:hAnsi="仿宋" w:eastAsia="仿宋" w:cs="仿宋"/>
          <w:kern w:val="0"/>
          <w:sz w:val="32"/>
          <w:szCs w:val="32"/>
        </w:rPr>
        <w:t>制定《阳江高新区食品药品安全“十三五”规划》（以下简称《规划》）。</w:t>
      </w:r>
    </w:p>
    <w:p>
      <w:pPr>
        <w:snapToGrid w:val="0"/>
        <w:spacing w:line="576" w:lineRule="exact"/>
        <w:ind w:firstLine="640" w:firstLineChars="200"/>
        <w:outlineLvl w:val="0"/>
        <w:rPr>
          <w:rFonts w:eastAsia="黑体"/>
          <w:sz w:val="32"/>
          <w:szCs w:val="32"/>
        </w:rPr>
      </w:pPr>
      <w:bookmarkStart w:id="0" w:name="_Toc443517690"/>
      <w:r>
        <w:rPr>
          <w:rFonts w:hint="eastAsia" w:ascii="黑体" w:hAnsi="黑体" w:eastAsia="黑体" w:cs="黑体"/>
          <w:sz w:val="32"/>
          <w:szCs w:val="32"/>
        </w:rPr>
        <w:t>一、现状与形势</w:t>
      </w:r>
      <w:bookmarkEnd w:id="0"/>
    </w:p>
    <w:p>
      <w:pPr>
        <w:snapToGrid w:val="0"/>
        <w:spacing w:line="576" w:lineRule="exact"/>
        <w:ind w:firstLine="643" w:firstLineChars="200"/>
        <w:outlineLvl w:val="1"/>
        <w:rPr>
          <w:rFonts w:ascii="楷体" w:hAnsi="楷体" w:eastAsia="楷体"/>
          <w:b/>
          <w:sz w:val="32"/>
          <w:szCs w:val="32"/>
        </w:rPr>
      </w:pPr>
      <w:r>
        <w:rPr>
          <w:rFonts w:hint="eastAsia" w:ascii="楷体" w:hAnsi="楷体" w:eastAsia="楷体"/>
          <w:b/>
          <w:sz w:val="32"/>
          <w:szCs w:val="32"/>
        </w:rPr>
        <w:t>（一）“十二五”食品药品监管情况</w:t>
      </w:r>
      <w:r>
        <w:rPr>
          <w:rFonts w:hint="eastAsia" w:ascii="楷体" w:hAnsi="楷体" w:eastAsia="楷体"/>
          <w:b/>
          <w:sz w:val="32"/>
          <w:szCs w:val="32"/>
          <w:lang w:eastAsia="zh-CN"/>
        </w:rPr>
        <w:t>。</w:t>
      </w:r>
    </w:p>
    <w:p>
      <w:pPr>
        <w:snapToGrid w:val="0"/>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“十二五”时期，全区各有关部门认真贯彻落实党中央、国务院、省、市委市政府及区</w:t>
      </w:r>
      <w:r>
        <w:rPr>
          <w:rFonts w:hint="eastAsia" w:ascii="仿宋" w:hAnsi="仿宋" w:eastAsia="仿宋" w:cs="仿宋"/>
          <w:kern w:val="0"/>
          <w:sz w:val="32"/>
          <w:szCs w:val="32"/>
          <w:lang w:eastAsia="zh-CN"/>
        </w:rPr>
        <w:t>党</w:t>
      </w:r>
      <w:r>
        <w:rPr>
          <w:rFonts w:hint="eastAsia" w:ascii="仿宋" w:hAnsi="仿宋" w:eastAsia="仿宋" w:cs="仿宋"/>
          <w:kern w:val="0"/>
          <w:sz w:val="32"/>
          <w:szCs w:val="32"/>
        </w:rPr>
        <w:t>委区</w:t>
      </w:r>
      <w:r>
        <w:rPr>
          <w:rFonts w:hint="eastAsia" w:ascii="仿宋" w:hAnsi="仿宋" w:eastAsia="仿宋" w:cs="仿宋"/>
          <w:kern w:val="0"/>
          <w:sz w:val="32"/>
          <w:szCs w:val="32"/>
          <w:lang w:eastAsia="zh-CN"/>
        </w:rPr>
        <w:t>管委会</w:t>
      </w:r>
      <w:r>
        <w:rPr>
          <w:rFonts w:hint="eastAsia" w:ascii="仿宋" w:hAnsi="仿宋" w:eastAsia="仿宋" w:cs="仿宋"/>
          <w:kern w:val="0"/>
          <w:sz w:val="32"/>
          <w:szCs w:val="32"/>
        </w:rPr>
        <w:t>的决策部署，按照“四个最严”（即最严谨的标准、最严格的监管、最严厉的处罚、最严肃的问责）要求</w:t>
      </w:r>
      <w:r>
        <w:rPr>
          <w:rFonts w:hint="eastAsia" w:ascii="仿宋" w:hAnsi="仿宋" w:eastAsia="仿宋" w:cs="仿宋"/>
          <w:sz w:val="32"/>
          <w:szCs w:val="32"/>
        </w:rPr>
        <w:t>，紧紧围绕“保障人民群众饮食用药安全”和“促进食品药品产业发展”两大主题</w:t>
      </w:r>
      <w:r>
        <w:rPr>
          <w:rFonts w:hint="eastAsia" w:ascii="仿宋" w:hAnsi="仿宋" w:eastAsia="仿宋" w:cs="仿宋"/>
          <w:kern w:val="0"/>
          <w:sz w:val="32"/>
          <w:szCs w:val="32"/>
        </w:rPr>
        <w:t>，深入推进食品药品监管体制机制改革，建立社会共治发展格局，开展食品药品专项整治行动，规范市场秩序，促进全区食品药品产业健康有序发展，食品药品安全形势总体向好，为“十三五”发展奠定了良好基础。</w:t>
      </w:r>
    </w:p>
    <w:p>
      <w:pPr>
        <w:snapToGrid w:val="0"/>
        <w:spacing w:line="576"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1.食品药品监管体制实现新变革</w:t>
      </w:r>
      <w:r>
        <w:rPr>
          <w:rFonts w:hint="eastAsia" w:ascii="仿宋" w:hAnsi="仿宋" w:eastAsia="仿宋" w:cs="仿宋"/>
          <w:b/>
          <w:kern w:val="0"/>
          <w:sz w:val="32"/>
          <w:szCs w:val="32"/>
          <w:lang w:eastAsia="zh-CN"/>
        </w:rPr>
        <w:t>。</w:t>
      </w:r>
    </w:p>
    <w:p>
      <w:pPr>
        <w:snapToGrid w:val="0"/>
        <w:spacing w:line="576" w:lineRule="exact"/>
        <w:ind w:firstLine="566" w:firstLineChars="177"/>
        <w:rPr>
          <w:rFonts w:ascii="仿宋" w:hAnsi="仿宋" w:eastAsia="仿宋" w:cs="仿宋"/>
          <w:kern w:val="0"/>
          <w:sz w:val="32"/>
          <w:szCs w:val="32"/>
        </w:rPr>
      </w:pPr>
      <w:r>
        <w:rPr>
          <w:rFonts w:hint="eastAsia" w:ascii="仿宋" w:hAnsi="仿宋" w:eastAsia="仿宋" w:cs="仿宋"/>
          <w:sz w:val="32"/>
          <w:szCs w:val="32"/>
        </w:rPr>
        <w:t>根据机构改革精神，在区</w:t>
      </w:r>
      <w:r>
        <w:rPr>
          <w:rFonts w:hint="eastAsia" w:ascii="仿宋" w:hAnsi="仿宋" w:eastAsia="仿宋" w:cs="仿宋"/>
          <w:sz w:val="32"/>
          <w:szCs w:val="32"/>
          <w:lang w:eastAsia="zh-CN"/>
        </w:rPr>
        <w:t>党</w:t>
      </w:r>
      <w:r>
        <w:rPr>
          <w:rFonts w:hint="eastAsia" w:ascii="仿宋" w:hAnsi="仿宋" w:eastAsia="仿宋" w:cs="仿宋"/>
          <w:sz w:val="32"/>
          <w:szCs w:val="32"/>
        </w:rPr>
        <w:t>委的高度重视下，2013年12月，启动改革完善食品药品监管体制工作，区食品药品</w:t>
      </w:r>
      <w:r>
        <w:rPr>
          <w:rFonts w:hint="eastAsia" w:ascii="仿宋" w:hAnsi="仿宋" w:eastAsia="仿宋" w:cs="仿宋"/>
          <w:sz w:val="32"/>
          <w:szCs w:val="32"/>
          <w:lang w:eastAsia="zh-CN"/>
        </w:rPr>
        <w:t>监督管理局</w:t>
      </w:r>
      <w:r>
        <w:rPr>
          <w:rFonts w:hint="eastAsia" w:ascii="仿宋" w:hAnsi="仿宋" w:eastAsia="仿宋" w:cs="仿宋"/>
          <w:sz w:val="32"/>
          <w:szCs w:val="32"/>
        </w:rPr>
        <w:t>挂牌成立，负责辖区内的食品药品监管工作，行政执法工作由辖区综合行政执法局承担。至2016年底，区食品药品监督管理局食药办下设食品监管股、药品监管股、综合协调股三个股室，有公务员编制4名，乡镇干部2名，借调老师1名，办事员2名，形成了</w:t>
      </w:r>
      <w:r>
        <w:rPr>
          <w:rFonts w:hint="eastAsia" w:ascii="仿宋" w:hAnsi="仿宋" w:eastAsia="仿宋" w:cs="仿宋"/>
          <w:sz w:val="32"/>
          <w:szCs w:val="32"/>
          <w:lang w:eastAsia="zh-CN"/>
        </w:rPr>
        <w:t>一个基本</w:t>
      </w:r>
      <w:r>
        <w:rPr>
          <w:rFonts w:hint="eastAsia" w:ascii="仿宋" w:hAnsi="仿宋" w:eastAsia="仿宋" w:cs="仿宋"/>
          <w:sz w:val="32"/>
          <w:szCs w:val="32"/>
        </w:rPr>
        <w:t>的食品药品监管体系。</w:t>
      </w:r>
    </w:p>
    <w:p>
      <w:pPr>
        <w:spacing w:line="576" w:lineRule="exact"/>
        <w:ind w:firstLine="660"/>
        <w:rPr>
          <w:rFonts w:ascii="仿宋" w:hAnsi="仿宋" w:eastAsia="仿宋" w:cs="仿宋"/>
          <w:b/>
          <w:sz w:val="32"/>
          <w:szCs w:val="32"/>
        </w:rPr>
      </w:pPr>
      <w:r>
        <w:rPr>
          <w:rFonts w:hint="eastAsia" w:ascii="仿宋" w:hAnsi="仿宋" w:eastAsia="仿宋" w:cs="仿宋"/>
          <w:b/>
          <w:sz w:val="32"/>
          <w:szCs w:val="32"/>
        </w:rPr>
        <w:t>2.食用农产品快速检测中心初步建成</w:t>
      </w:r>
      <w:r>
        <w:rPr>
          <w:rFonts w:hint="eastAsia" w:ascii="仿宋" w:hAnsi="仿宋" w:eastAsia="仿宋" w:cs="仿宋"/>
          <w:b/>
          <w:sz w:val="32"/>
          <w:szCs w:val="32"/>
          <w:lang w:eastAsia="zh-CN"/>
        </w:rPr>
        <w:t>。</w:t>
      </w:r>
    </w:p>
    <w:p>
      <w:pPr>
        <w:spacing w:line="576" w:lineRule="exact"/>
        <w:ind w:firstLine="660"/>
        <w:rPr>
          <w:rFonts w:ascii="仿宋" w:hAnsi="仿宋" w:eastAsia="仿宋" w:cs="仿宋"/>
          <w:sz w:val="32"/>
          <w:szCs w:val="32"/>
        </w:rPr>
      </w:pPr>
      <w:r>
        <w:rPr>
          <w:rFonts w:hint="eastAsia" w:ascii="仿宋" w:hAnsi="仿宋" w:eastAsia="仿宋" w:cs="仿宋"/>
          <w:sz w:val="32"/>
          <w:szCs w:val="32"/>
        </w:rPr>
        <w:t>2016年7月，根据省市局文件要求，农贸市场设立了食用农产品快速检测检验中心，</w:t>
      </w:r>
      <w:r>
        <w:rPr>
          <w:rFonts w:hint="eastAsia" w:ascii="仿宋" w:hAnsi="仿宋" w:eastAsia="仿宋" w:cs="仿宋"/>
          <w:color w:val="000000"/>
          <w:sz w:val="32"/>
          <w:szCs w:val="32"/>
        </w:rPr>
        <w:t>承担食用农产品快速检测检验任务，食品检测检验水平逐步提高。</w:t>
      </w:r>
      <w:r>
        <w:rPr>
          <w:rFonts w:hint="eastAsia" w:ascii="仿宋" w:hAnsi="仿宋" w:eastAsia="仿宋" w:cs="仿宋"/>
          <w:sz w:val="32"/>
          <w:szCs w:val="32"/>
        </w:rPr>
        <w:t>根据上级部门的工作部署，结合辖区实际，及时开展食用农产品监督抽检工作，圆满完成工作任务，及时发现并消除食品安全隐患。</w:t>
      </w:r>
    </w:p>
    <w:p>
      <w:pPr>
        <w:snapToGrid w:val="0"/>
        <w:spacing w:line="576"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3.食品药品监管取得新成效</w:t>
      </w:r>
      <w:r>
        <w:rPr>
          <w:rFonts w:hint="eastAsia" w:ascii="仿宋" w:hAnsi="仿宋" w:eastAsia="仿宋" w:cs="仿宋"/>
          <w:b/>
          <w:kern w:val="0"/>
          <w:sz w:val="32"/>
          <w:szCs w:val="32"/>
          <w:lang w:eastAsia="zh-CN"/>
        </w:rPr>
        <w:t>。</w:t>
      </w:r>
    </w:p>
    <w:p>
      <w:pPr>
        <w:spacing w:line="576" w:lineRule="exact"/>
        <w:ind w:firstLine="643" w:firstLineChars="200"/>
        <w:rPr>
          <w:rFonts w:ascii="仿宋" w:hAnsi="仿宋" w:eastAsia="仿宋" w:cs="仿宋"/>
          <w:kern w:val="0"/>
          <w:sz w:val="32"/>
          <w:szCs w:val="32"/>
          <w:highlight w:val="yellow"/>
        </w:rPr>
      </w:pPr>
      <w:r>
        <w:rPr>
          <w:rFonts w:hint="eastAsia" w:ascii="仿宋" w:hAnsi="仿宋" w:eastAsia="仿宋" w:cs="仿宋"/>
          <w:b/>
          <w:kern w:val="0"/>
          <w:sz w:val="32"/>
          <w:szCs w:val="32"/>
        </w:rPr>
        <w:t>专项整治深入开展。</w:t>
      </w:r>
      <w:r>
        <w:rPr>
          <w:rFonts w:hint="eastAsia" w:ascii="仿宋" w:hAnsi="仿宋" w:eastAsia="仿宋" w:cs="仿宋"/>
          <w:kern w:val="0"/>
          <w:sz w:val="32"/>
          <w:szCs w:val="32"/>
        </w:rPr>
        <w:t>组织开展“</w:t>
      </w:r>
      <w:r>
        <w:rPr>
          <w:rFonts w:hint="eastAsia" w:ascii="仿宋" w:hAnsi="仿宋" w:eastAsia="仿宋" w:cs="仿宋"/>
          <w:color w:val="000000"/>
          <w:kern w:val="32"/>
          <w:sz w:val="32"/>
          <w:szCs w:val="32"/>
        </w:rPr>
        <w:t>药品流通</w:t>
      </w:r>
      <w:r>
        <w:rPr>
          <w:rFonts w:hint="eastAsia" w:ascii="仿宋" w:hAnsi="仿宋" w:eastAsia="仿宋" w:cs="仿宋"/>
          <w:kern w:val="0"/>
          <w:sz w:val="32"/>
          <w:szCs w:val="32"/>
        </w:rPr>
        <w:t>、中药饮片、医疗器械“五整治”、保健食品打“四非”、化妆品“四打一规”、旅游沿线、单位食堂、农村食品“扫雷”、等一系列专项整治行动。</w:t>
      </w:r>
      <w:r>
        <w:rPr>
          <w:rFonts w:hint="eastAsia" w:ascii="仿宋" w:hAnsi="仿宋" w:eastAsia="仿宋" w:cs="仿宋"/>
          <w:sz w:val="32"/>
          <w:szCs w:val="32"/>
        </w:rPr>
        <w:t>2016年，出动检查人员1377人次，检查经营户536户次，未发现违法违规生产经营行为；2017年截止11月份，出动检查人员1122人次，检查经营户436户次，未发现违法违规生产经营行为。</w:t>
      </w:r>
    </w:p>
    <w:p>
      <w:pPr>
        <w:snapToGrid w:val="0"/>
        <w:spacing w:line="576"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食品药品</w:t>
      </w:r>
      <w:r>
        <w:rPr>
          <w:rFonts w:hint="eastAsia" w:ascii="仿宋" w:hAnsi="仿宋" w:eastAsia="仿宋" w:cs="仿宋"/>
          <w:b/>
          <w:sz w:val="32"/>
          <w:szCs w:val="32"/>
        </w:rPr>
        <w:t>生产经营管理不断规范。</w:t>
      </w:r>
      <w:r>
        <w:rPr>
          <w:rFonts w:hint="eastAsia" w:ascii="仿宋" w:hAnsi="仿宋" w:eastAsia="仿宋" w:cs="仿宋"/>
          <w:sz w:val="32"/>
          <w:szCs w:val="32"/>
        </w:rPr>
        <w:t>加强对食品药品生产经营企业的日常检查，组织开展各类跟踪检查和专项检查，</w:t>
      </w:r>
      <w:r>
        <w:rPr>
          <w:rFonts w:hint="eastAsia" w:ascii="仿宋" w:hAnsi="仿宋" w:eastAsia="仿宋" w:cs="仿宋"/>
          <w:sz w:val="32"/>
          <w:szCs w:val="18"/>
        </w:rPr>
        <w:t>及</w:t>
      </w:r>
      <w:r>
        <w:rPr>
          <w:rFonts w:hint="eastAsia" w:ascii="仿宋" w:hAnsi="仿宋" w:eastAsia="仿宋" w:cs="仿宋"/>
          <w:sz w:val="32"/>
        </w:rPr>
        <w:t>时消除</w:t>
      </w:r>
      <w:r>
        <w:rPr>
          <w:rFonts w:hint="eastAsia" w:ascii="仿宋" w:hAnsi="仿宋" w:eastAsia="仿宋" w:cs="仿宋"/>
          <w:sz w:val="32"/>
          <w:szCs w:val="32"/>
        </w:rPr>
        <w:t>食品药品生产经营管理中存在的问题</w:t>
      </w:r>
      <w:r>
        <w:rPr>
          <w:rFonts w:hint="eastAsia" w:ascii="仿宋" w:hAnsi="仿宋" w:eastAsia="仿宋" w:cs="仿宋"/>
          <w:sz w:val="36"/>
        </w:rPr>
        <w:t>。</w:t>
      </w:r>
      <w:r>
        <w:rPr>
          <w:rFonts w:hint="eastAsia" w:ascii="仿宋" w:hAnsi="仿宋" w:eastAsia="仿宋" w:cs="仿宋"/>
          <w:b/>
          <w:sz w:val="32"/>
          <w:szCs w:val="32"/>
        </w:rPr>
        <w:t>一是</w:t>
      </w:r>
      <w:r>
        <w:rPr>
          <w:rFonts w:hint="eastAsia" w:ascii="仿宋" w:hAnsi="仿宋" w:eastAsia="仿宋" w:cs="仿宋"/>
          <w:sz w:val="32"/>
          <w:szCs w:val="32"/>
        </w:rPr>
        <w:t>加强市场准入、风险监测、监管巡查，抓好生产经营的食品药品安全，</w:t>
      </w:r>
      <w:r>
        <w:rPr>
          <w:rFonts w:hint="eastAsia" w:ascii="仿宋" w:hAnsi="仿宋" w:eastAsia="仿宋" w:cs="仿宋"/>
          <w:kern w:val="0"/>
          <w:sz w:val="32"/>
          <w:szCs w:val="32"/>
        </w:rPr>
        <w:t>促使食品药品生产经营企业进一步落实食品药品安全主体责任</w:t>
      </w:r>
      <w:r>
        <w:rPr>
          <w:rFonts w:hint="eastAsia" w:ascii="仿宋" w:hAnsi="仿宋" w:eastAsia="仿宋" w:cs="仿宋"/>
          <w:color w:val="000000"/>
          <w:sz w:val="32"/>
          <w:szCs w:val="32"/>
        </w:rPr>
        <w:t>。</w:t>
      </w:r>
      <w:r>
        <w:rPr>
          <w:rFonts w:hint="eastAsia" w:ascii="仿宋" w:hAnsi="仿宋" w:eastAsia="仿宋" w:cs="仿宋"/>
          <w:b/>
          <w:sz w:val="32"/>
        </w:rPr>
        <w:t>二是</w:t>
      </w:r>
      <w:r>
        <w:rPr>
          <w:rFonts w:hint="eastAsia" w:ascii="仿宋" w:hAnsi="仿宋" w:eastAsia="仿宋" w:cs="仿宋"/>
          <w:color w:val="000000"/>
          <w:sz w:val="32"/>
          <w:szCs w:val="32"/>
        </w:rPr>
        <w:t>推行食品全过程可追溯制度。</w:t>
      </w:r>
      <w:r>
        <w:rPr>
          <w:rFonts w:hint="eastAsia" w:ascii="仿宋" w:hAnsi="仿宋" w:eastAsia="仿宋" w:cs="仿宋"/>
          <w:sz w:val="32"/>
          <w:szCs w:val="32"/>
        </w:rPr>
        <w:t>从2015年开始，将婴幼儿配方乳粉生产、流通、消费全过程纳入质量追溯系统，逐步规范流通环节食品监管。目前，全区婴幼儿配方乳粉经营企业已经100%加入质量追溯系统。</w:t>
      </w:r>
      <w:r>
        <w:rPr>
          <w:rFonts w:hint="eastAsia" w:ascii="仿宋" w:hAnsi="仿宋" w:eastAsia="仿宋" w:cs="仿宋"/>
          <w:b/>
          <w:sz w:val="32"/>
          <w:szCs w:val="32"/>
        </w:rPr>
        <w:t>三是</w:t>
      </w:r>
      <w:r>
        <w:rPr>
          <w:rFonts w:hint="eastAsia" w:ascii="仿宋" w:hAnsi="仿宋" w:eastAsia="仿宋" w:cs="仿宋"/>
          <w:sz w:val="32"/>
          <w:szCs w:val="32"/>
        </w:rPr>
        <w:t>实施量化分级、“明厨亮灶”“城镇学校食堂灭C计划”等工程，抓好餐饮服务环节食品安全。截至2017年底，全区应量化评定的餐饮服务企业101家，已量化评定了98家，量化率达97.0%；有55家餐饮服务企业的厨房安装了摄像头，实施“明厨亮灶”工程；全区8家学校集体食堂“灭C计划”全部完成。</w:t>
      </w:r>
      <w:r>
        <w:rPr>
          <w:rFonts w:hint="eastAsia" w:ascii="仿宋" w:hAnsi="仿宋" w:eastAsia="仿宋" w:cs="仿宋"/>
          <w:b/>
          <w:sz w:val="32"/>
        </w:rPr>
        <w:t>四是</w:t>
      </w:r>
      <w:r>
        <w:rPr>
          <w:rFonts w:hint="eastAsia" w:ascii="仿宋" w:hAnsi="仿宋" w:eastAsia="仿宋" w:cs="仿宋"/>
          <w:bCs/>
          <w:sz w:val="32"/>
        </w:rPr>
        <w:t>严格</w:t>
      </w:r>
      <w:r>
        <w:rPr>
          <w:rFonts w:hint="eastAsia" w:ascii="仿宋" w:hAnsi="仿宋" w:eastAsia="仿宋" w:cs="仿宋"/>
          <w:sz w:val="32"/>
          <w:szCs w:val="32"/>
        </w:rPr>
        <w:t>按规定做好新开办药品零售企业和保健食品、医疗器械经营企业的审批工作，严把准入关；</w:t>
      </w:r>
      <w:r>
        <w:rPr>
          <w:rFonts w:hint="eastAsia" w:ascii="仿宋" w:hAnsi="仿宋" w:eastAsia="仿宋" w:cs="仿宋"/>
          <w:b/>
          <w:sz w:val="32"/>
          <w:szCs w:val="32"/>
        </w:rPr>
        <w:t>五是</w:t>
      </w:r>
      <w:r>
        <w:rPr>
          <w:rFonts w:hint="eastAsia" w:ascii="仿宋" w:hAnsi="仿宋" w:eastAsia="仿宋" w:cs="仿宋"/>
          <w:sz w:val="32"/>
          <w:szCs w:val="32"/>
        </w:rPr>
        <w:t>加强对医疗器械生产经营以及医疗机构在用器械设备的监督检查，规范持证企业的进货验收、索证索票、源头追溯、不良事件监测制度。</w:t>
      </w:r>
      <w:r>
        <w:rPr>
          <w:rFonts w:hint="eastAsia" w:ascii="仿宋" w:hAnsi="仿宋" w:eastAsia="仿宋" w:cs="仿宋"/>
          <w:b/>
          <w:sz w:val="32"/>
          <w:szCs w:val="32"/>
        </w:rPr>
        <w:t>六是</w:t>
      </w:r>
      <w:r>
        <w:rPr>
          <w:rFonts w:hint="eastAsia" w:ascii="仿宋" w:hAnsi="仿宋" w:eastAsia="仿宋" w:cs="仿宋"/>
          <w:sz w:val="32"/>
          <w:szCs w:val="32"/>
        </w:rPr>
        <w:t>开展保健食品、化妆品违法添加禁用物质和标签、说明书内容专项检查，整治以夸大宣传功能和利用公益讲座等方式变相销售假冒伪劣保健食品行为专项行动。</w:t>
      </w:r>
    </w:p>
    <w:p>
      <w:pPr>
        <w:snapToGrid w:val="0"/>
        <w:spacing w:line="576"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4.</w:t>
      </w:r>
      <w:r>
        <w:rPr>
          <w:rFonts w:hint="eastAsia" w:ascii="仿宋" w:hAnsi="仿宋" w:eastAsia="仿宋" w:cs="仿宋"/>
          <w:b/>
          <w:bCs/>
          <w:kern w:val="0"/>
          <w:sz w:val="32"/>
          <w:szCs w:val="32"/>
        </w:rPr>
        <w:t>食品药品安全治理能力稳步提升</w:t>
      </w:r>
      <w:r>
        <w:rPr>
          <w:rFonts w:hint="eastAsia" w:ascii="仿宋" w:hAnsi="仿宋" w:eastAsia="仿宋" w:cs="仿宋"/>
          <w:b/>
          <w:bCs/>
          <w:kern w:val="0"/>
          <w:sz w:val="32"/>
          <w:szCs w:val="32"/>
          <w:lang w:eastAsia="zh-CN"/>
        </w:rPr>
        <w:t>。</w:t>
      </w:r>
    </w:p>
    <w:p>
      <w:pPr>
        <w:snapToGrid w:val="0"/>
        <w:spacing w:line="576"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干部队伍建设不断加强。</w:t>
      </w:r>
      <w:r>
        <w:rPr>
          <w:rFonts w:hint="eastAsia" w:ascii="仿宋" w:hAnsi="仿宋" w:eastAsia="仿宋" w:cs="仿宋"/>
          <w:kern w:val="0"/>
          <w:sz w:val="32"/>
          <w:szCs w:val="32"/>
        </w:rPr>
        <w:t>注重加强干部队伍人员素质的培养，积极组织监管人员参加省市组织的各类业务培训。同时，采取走出去、请进来和相互学习的形式，积极鼓励干部开展深入调研，自主学习，多学多问，营造和谐的监管文化，提高监管队伍的能力和水平。</w:t>
      </w:r>
    </w:p>
    <w:p>
      <w:pPr>
        <w:snapToGrid w:val="0"/>
        <w:spacing w:line="576"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改革行政审批制度。</w:t>
      </w:r>
      <w:r>
        <w:rPr>
          <w:rFonts w:hint="eastAsia" w:ascii="仿宋" w:hAnsi="仿宋" w:eastAsia="仿宋" w:cs="仿宋"/>
          <w:color w:val="000000"/>
          <w:sz w:val="32"/>
          <w:szCs w:val="32"/>
        </w:rPr>
        <w:t>切实转变政府职能，</w:t>
      </w:r>
      <w:r>
        <w:rPr>
          <w:rFonts w:hint="eastAsia" w:ascii="仿宋" w:hAnsi="仿宋" w:eastAsia="仿宋" w:cs="仿宋"/>
          <w:sz w:val="32"/>
          <w:szCs w:val="32"/>
        </w:rPr>
        <w:t>精简食品药品行政审批事项。同时，推行权力清单制度，做到办事透明、程序规范，切实提高审批效率和服务水平。</w:t>
      </w:r>
    </w:p>
    <w:p>
      <w:pPr>
        <w:snapToGrid w:val="0"/>
        <w:spacing w:line="576"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完善风险监测和评估体系。</w:t>
      </w:r>
      <w:r>
        <w:rPr>
          <w:rFonts w:hint="eastAsia" w:ascii="仿宋" w:hAnsi="仿宋" w:eastAsia="仿宋" w:cs="仿宋"/>
          <w:kern w:val="0"/>
          <w:sz w:val="32"/>
          <w:szCs w:val="32"/>
        </w:rPr>
        <w:t>建立了</w:t>
      </w:r>
      <w:r>
        <w:rPr>
          <w:rFonts w:hint="eastAsia" w:ascii="仿宋" w:hAnsi="仿宋" w:eastAsia="仿宋" w:cs="仿宋"/>
          <w:sz w:val="32"/>
          <w:szCs w:val="32"/>
        </w:rPr>
        <w:t>药品不良反应、医疗器械不良事件监测点、监测工作稳步推进。</w:t>
      </w:r>
    </w:p>
    <w:p>
      <w:pPr>
        <w:spacing w:line="576"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应急管理水平稳步提升。</w:t>
      </w:r>
      <w:r>
        <w:rPr>
          <w:rFonts w:hint="eastAsia" w:ascii="仿宋" w:hAnsi="仿宋" w:eastAsia="仿宋" w:cs="仿宋"/>
          <w:kern w:val="0"/>
          <w:sz w:val="32"/>
          <w:szCs w:val="32"/>
        </w:rPr>
        <w:t>不断完善食品药品应急预案和应急管理机构，建立健全应急队伍，完善应急管理体系。积极开展应急培训，完善食物中毒事故报告和调查处置办法，保障重大活动食品药品安全，提高应对突发事件的应急处置能力。</w:t>
      </w:r>
    </w:p>
    <w:p>
      <w:pPr>
        <w:autoSpaceDE w:val="0"/>
        <w:autoSpaceDN w:val="0"/>
        <w:snapToGrid w:val="0"/>
        <w:spacing w:line="576" w:lineRule="exact"/>
        <w:ind w:firstLine="643" w:firstLineChars="200"/>
        <w:contextualSpacing/>
        <w:jc w:val="left"/>
        <w:rPr>
          <w:rFonts w:ascii="仿宋" w:hAnsi="仿宋" w:eastAsia="仿宋" w:cs="仿宋"/>
          <w:color w:val="000000"/>
          <w:sz w:val="32"/>
          <w:szCs w:val="32"/>
          <w:shd w:val="clear" w:color="auto" w:fill="FFFFFF"/>
        </w:rPr>
      </w:pPr>
      <w:r>
        <w:rPr>
          <w:rFonts w:hint="eastAsia" w:ascii="仿宋" w:hAnsi="仿宋" w:eastAsia="仿宋" w:cs="仿宋"/>
          <w:b/>
          <w:kern w:val="0"/>
          <w:sz w:val="32"/>
          <w:szCs w:val="32"/>
        </w:rPr>
        <w:t>5.</w:t>
      </w:r>
      <w:r>
        <w:rPr>
          <w:rFonts w:hint="eastAsia" w:ascii="仿宋" w:hAnsi="仿宋" w:eastAsia="仿宋" w:cs="仿宋"/>
          <w:b/>
          <w:color w:val="000000"/>
          <w:sz w:val="32"/>
          <w:szCs w:val="32"/>
          <w:shd w:val="clear" w:color="auto" w:fill="FFFFFF"/>
        </w:rPr>
        <w:t>食品药品社会共治格局逐步形成</w:t>
      </w:r>
      <w:r>
        <w:rPr>
          <w:rFonts w:hint="eastAsia" w:ascii="仿宋" w:hAnsi="仿宋" w:eastAsia="仿宋" w:cs="仿宋"/>
          <w:b/>
          <w:color w:val="000000"/>
          <w:sz w:val="32"/>
          <w:szCs w:val="32"/>
          <w:shd w:val="clear" w:color="auto" w:fill="FFFFFF"/>
          <w:lang w:eastAsia="zh-CN"/>
        </w:rPr>
        <w:t>。</w:t>
      </w:r>
    </w:p>
    <w:p>
      <w:pPr>
        <w:spacing w:line="576" w:lineRule="exact"/>
        <w:ind w:firstLine="643" w:firstLineChars="200"/>
        <w:rPr>
          <w:rFonts w:ascii="仿宋" w:hAnsi="仿宋" w:eastAsia="仿宋" w:cs="仿宋"/>
          <w:sz w:val="32"/>
          <w:szCs w:val="32"/>
        </w:rPr>
      </w:pPr>
      <w:r>
        <w:rPr>
          <w:rFonts w:hint="eastAsia" w:ascii="仿宋" w:hAnsi="仿宋" w:eastAsia="仿宋" w:cs="仿宋"/>
          <w:b/>
          <w:color w:val="000000"/>
          <w:sz w:val="32"/>
          <w:szCs w:val="32"/>
          <w:shd w:val="clear" w:color="auto" w:fill="FFFFFF"/>
        </w:rPr>
        <w:t>部门合力不断加强。</w:t>
      </w:r>
      <w:r>
        <w:rPr>
          <w:rFonts w:hint="eastAsia" w:ascii="仿宋" w:hAnsi="仿宋" w:eastAsia="仿宋" w:cs="仿宋"/>
          <w:sz w:val="32"/>
          <w:szCs w:val="32"/>
        </w:rPr>
        <w:t>加强与公安、工商、农业、执法等部门的沟通协调，建立健全食品药品联合执法机制，形成打假整治合力，加强食品药品监管力度。进一步健全与行政执法衔接机制，建立完善的案件移送标准和程序，形成案件信息共享、案情通报、案件移送机制。</w:t>
      </w:r>
    </w:p>
    <w:p>
      <w:pPr>
        <w:snapToGrid w:val="0"/>
        <w:spacing w:line="576" w:lineRule="exact"/>
        <w:ind w:firstLine="643" w:firstLineChars="200"/>
        <w:rPr>
          <w:rFonts w:ascii="仿宋" w:hAnsi="仿宋" w:eastAsia="仿宋" w:cs="仿宋"/>
          <w:kern w:val="0"/>
          <w:sz w:val="32"/>
          <w:szCs w:val="32"/>
        </w:rPr>
      </w:pPr>
      <w:r>
        <w:rPr>
          <w:rFonts w:hint="eastAsia" w:ascii="仿宋" w:hAnsi="仿宋" w:eastAsia="仿宋" w:cs="仿宋"/>
          <w:b/>
          <w:color w:val="000000"/>
          <w:sz w:val="32"/>
          <w:szCs w:val="32"/>
          <w:shd w:val="clear" w:color="auto" w:fill="FFFFFF"/>
        </w:rPr>
        <w:t>宣传教育日益增强。</w:t>
      </w:r>
      <w:r>
        <w:rPr>
          <w:rFonts w:hint="eastAsia" w:ascii="仿宋" w:hAnsi="仿宋" w:eastAsia="仿宋" w:cs="仿宋"/>
          <w:kern w:val="0"/>
          <w:sz w:val="32"/>
          <w:szCs w:val="32"/>
        </w:rPr>
        <w:t>大力加强新闻媒体宣传教育，加强与</w:t>
      </w:r>
      <w:r>
        <w:rPr>
          <w:rFonts w:hint="eastAsia" w:ascii="仿宋" w:hAnsi="仿宋" w:eastAsia="仿宋" w:cs="仿宋"/>
          <w:sz w:val="32"/>
          <w:szCs w:val="32"/>
        </w:rPr>
        <w:t>区电视台等本地主流新闻媒体合作</w:t>
      </w:r>
      <w:r>
        <w:rPr>
          <w:rFonts w:hint="eastAsia" w:ascii="仿宋" w:hAnsi="仿宋" w:eastAsia="仿宋" w:cs="仿宋"/>
          <w:kern w:val="0"/>
          <w:sz w:val="32"/>
          <w:szCs w:val="32"/>
        </w:rPr>
        <w:t>，</w:t>
      </w:r>
      <w:r>
        <w:rPr>
          <w:rFonts w:hint="eastAsia" w:ascii="仿宋" w:hAnsi="仿宋" w:eastAsia="仿宋" w:cs="仿宋"/>
          <w:sz w:val="32"/>
          <w:szCs w:val="32"/>
        </w:rPr>
        <w:t>加强食品药品安全知识和食品药品安全监管成效动态宣传</w:t>
      </w:r>
      <w:r>
        <w:rPr>
          <w:rFonts w:hint="eastAsia" w:ascii="仿宋" w:hAnsi="仿宋" w:eastAsia="仿宋" w:cs="仿宋"/>
          <w:kern w:val="0"/>
          <w:sz w:val="32"/>
          <w:szCs w:val="32"/>
        </w:rPr>
        <w:t>，开展“食品安全宣传周”、“</w:t>
      </w:r>
      <w:r>
        <w:rPr>
          <w:rFonts w:hint="eastAsia" w:ascii="仿宋" w:hAnsi="仿宋" w:eastAsia="仿宋" w:cs="仿宋"/>
          <w:bCs/>
          <w:color w:val="000000"/>
          <w:sz w:val="32"/>
          <w:szCs w:val="32"/>
        </w:rPr>
        <w:t>315国际消费者权益保障日”</w:t>
      </w:r>
      <w:r>
        <w:rPr>
          <w:rFonts w:hint="eastAsia" w:ascii="仿宋" w:hAnsi="仿宋" w:eastAsia="仿宋" w:cs="仿宋"/>
          <w:kern w:val="0"/>
          <w:sz w:val="32"/>
          <w:szCs w:val="32"/>
        </w:rPr>
        <w:t>等各类食品药品主题宣传活动。利用政务网站、主流媒体、报刊等载体，宣传食品药品安全科普知识、政策法规和监管举措。</w:t>
      </w:r>
    </w:p>
    <w:p>
      <w:pPr>
        <w:snapToGrid w:val="0"/>
        <w:spacing w:line="576"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社会监督渠道畅通。</w:t>
      </w:r>
      <w:r>
        <w:rPr>
          <w:rFonts w:hint="eastAsia" w:ascii="仿宋" w:hAnsi="仿宋" w:eastAsia="仿宋" w:cs="仿宋"/>
          <w:kern w:val="0"/>
          <w:sz w:val="32"/>
          <w:szCs w:val="32"/>
        </w:rPr>
        <w:t>开通“12331”、“3833393”食品药品安全投诉举报热线，与相关职能部门投诉举报热线形成合力，构建覆盖全区食品药品安全投诉举报网络。</w:t>
      </w:r>
    </w:p>
    <w:p>
      <w:pPr>
        <w:snapToGrid w:val="0"/>
        <w:spacing w:line="576" w:lineRule="exact"/>
        <w:ind w:firstLine="643" w:firstLineChars="200"/>
        <w:outlineLvl w:val="1"/>
        <w:rPr>
          <w:rFonts w:ascii="楷体" w:hAnsi="楷体" w:eastAsia="楷体"/>
          <w:b/>
          <w:sz w:val="32"/>
          <w:szCs w:val="32"/>
        </w:rPr>
      </w:pPr>
      <w:bookmarkStart w:id="1" w:name="_Toc443517692"/>
      <w:r>
        <w:rPr>
          <w:rFonts w:hint="eastAsia" w:ascii="楷体" w:hAnsi="楷体" w:eastAsia="楷体"/>
          <w:b/>
          <w:kern w:val="0"/>
          <w:sz w:val="32"/>
          <w:szCs w:val="32"/>
        </w:rPr>
        <w:t>（二）</w:t>
      </w:r>
      <w:r>
        <w:rPr>
          <w:rFonts w:hint="eastAsia" w:ascii="楷体" w:hAnsi="楷体" w:eastAsia="楷体"/>
          <w:b/>
          <w:sz w:val="32"/>
          <w:szCs w:val="32"/>
        </w:rPr>
        <w:t>面临形势</w:t>
      </w:r>
      <w:bookmarkEnd w:id="1"/>
      <w:r>
        <w:rPr>
          <w:rFonts w:hint="eastAsia" w:ascii="楷体" w:hAnsi="楷体" w:eastAsia="楷体"/>
          <w:b/>
          <w:sz w:val="32"/>
          <w:szCs w:val="32"/>
        </w:rPr>
        <w:t>和存在问题</w:t>
      </w:r>
      <w:r>
        <w:rPr>
          <w:rFonts w:hint="eastAsia" w:ascii="楷体" w:hAnsi="楷体" w:eastAsia="楷体"/>
          <w:b/>
          <w:sz w:val="32"/>
          <w:szCs w:val="32"/>
          <w:lang w:eastAsia="zh-CN"/>
        </w:rPr>
        <w:t>。</w:t>
      </w:r>
    </w:p>
    <w:p>
      <w:pPr>
        <w:snapToGrid w:val="0"/>
        <w:spacing w:line="576" w:lineRule="exact"/>
        <w:ind w:firstLine="640" w:firstLineChars="200"/>
        <w:rPr>
          <w:rFonts w:ascii="仿宋" w:hAnsi="仿宋" w:eastAsia="仿宋" w:cs="仿宋"/>
          <w:kern w:val="0"/>
          <w:sz w:val="32"/>
          <w:szCs w:val="32"/>
        </w:rPr>
      </w:pPr>
      <w:r>
        <w:rPr>
          <w:rFonts w:hint="eastAsia" w:ascii="仿宋_GB2312" w:hAnsi="仿宋" w:eastAsia="仿宋_GB2312"/>
          <w:kern w:val="0"/>
          <w:sz w:val="32"/>
          <w:szCs w:val="32"/>
        </w:rPr>
        <w:t>“</w:t>
      </w:r>
      <w:r>
        <w:rPr>
          <w:rFonts w:hint="eastAsia" w:ascii="仿宋" w:hAnsi="仿宋" w:eastAsia="仿宋" w:cs="仿宋"/>
          <w:kern w:val="0"/>
          <w:sz w:val="32"/>
          <w:szCs w:val="32"/>
        </w:rPr>
        <w:t>十三五”时期是我国全面建成小康社会和实现两个百年目标的决胜期，是辖区建成国家级高新区的关键期，也是加快构建食品药品安全现代化治理体系、形成食品药品安全社会共治格局的关键期，既为食品药品安全提供了新机遇，也为食品药品安全提出了更高的要求和挑战。</w:t>
      </w:r>
    </w:p>
    <w:p>
      <w:pPr>
        <w:snapToGrid w:val="0"/>
        <w:spacing w:line="576" w:lineRule="exact"/>
        <w:ind w:firstLine="643" w:firstLineChars="200"/>
        <w:contextualSpacing/>
        <w:rPr>
          <w:rFonts w:ascii="仿宋" w:hAnsi="仿宋" w:eastAsia="仿宋"/>
          <w:kern w:val="0"/>
          <w:sz w:val="32"/>
          <w:szCs w:val="32"/>
        </w:rPr>
      </w:pPr>
      <w:r>
        <w:rPr>
          <w:rFonts w:hint="eastAsia" w:ascii="仿宋" w:hAnsi="仿宋" w:eastAsia="仿宋" w:cs="仿宋"/>
          <w:b/>
          <w:sz w:val="32"/>
          <w:szCs w:val="32"/>
        </w:rPr>
        <w:t>机遇方面：</w:t>
      </w:r>
      <w:r>
        <w:rPr>
          <w:rFonts w:hint="eastAsia" w:ascii="仿宋" w:hAnsi="仿宋" w:eastAsia="仿宋" w:cs="仿宋"/>
          <w:b/>
          <w:kern w:val="0"/>
          <w:sz w:val="32"/>
          <w:szCs w:val="32"/>
        </w:rPr>
        <w:t>一是</w:t>
      </w:r>
      <w:r>
        <w:rPr>
          <w:rFonts w:hint="eastAsia" w:ascii="仿宋" w:hAnsi="仿宋" w:eastAsia="仿宋" w:cs="仿宋"/>
          <w:kern w:val="0"/>
          <w:sz w:val="32"/>
          <w:szCs w:val="32"/>
        </w:rPr>
        <w:t>党和国家高度重视食品药品安全工作，把食品药品安全工作上升到经受执政能力考验的高度，强调要“健全公共安全体系，完善统一权威的食品药品安全监管机构，建立最严格的覆盖全过程的监管制度”，为食品药品安全提供了强大动力。</w:t>
      </w:r>
      <w:r>
        <w:rPr>
          <w:rFonts w:hint="eastAsia" w:ascii="仿宋" w:hAnsi="仿宋" w:eastAsia="仿宋" w:cs="仿宋"/>
          <w:b/>
          <w:kern w:val="0"/>
          <w:sz w:val="32"/>
          <w:szCs w:val="32"/>
        </w:rPr>
        <w:t>二是</w:t>
      </w:r>
      <w:r>
        <w:rPr>
          <w:rFonts w:hint="eastAsia" w:ascii="仿宋" w:hAnsi="仿宋" w:eastAsia="仿宋" w:cs="仿宋"/>
          <w:kern w:val="0"/>
          <w:sz w:val="32"/>
          <w:szCs w:val="32"/>
        </w:rPr>
        <w:t>食品药品安全监管法律法规日益完备，《食品安全法》、《药品管理法》、《医疗器械监督管理条例》等一系列法律法规的修订、颁布和实施，为强化食品药品安全监管提供了有力的法治保障。</w:t>
      </w:r>
      <w:r>
        <w:rPr>
          <w:rFonts w:hint="eastAsia" w:ascii="仿宋" w:hAnsi="仿宋" w:eastAsia="仿宋" w:cs="仿宋"/>
          <w:b/>
          <w:kern w:val="0"/>
          <w:sz w:val="32"/>
          <w:szCs w:val="32"/>
        </w:rPr>
        <w:t>三是</w:t>
      </w:r>
      <w:r>
        <w:rPr>
          <w:rFonts w:hint="eastAsia" w:ascii="仿宋" w:hAnsi="仿宋" w:eastAsia="仿宋" w:cs="仿宋"/>
          <w:kern w:val="0"/>
          <w:sz w:val="32"/>
          <w:szCs w:val="32"/>
        </w:rPr>
        <w:t>科技创新为食品药品安全提供有力支撑。实施创新驱动战略，将有力促进食品和生物医药产业创新发展，提高食品药品质量。智慧城市建设、大数据等新一代信息技术发展，有利于食品药品安全科学监管和智能监管。</w:t>
      </w:r>
      <w:r>
        <w:rPr>
          <w:rFonts w:hint="eastAsia" w:ascii="仿宋" w:hAnsi="仿宋" w:eastAsia="仿宋" w:cs="仿宋"/>
          <w:b/>
          <w:kern w:val="0"/>
          <w:sz w:val="32"/>
          <w:szCs w:val="32"/>
        </w:rPr>
        <w:t>四</w:t>
      </w:r>
      <w:r>
        <w:rPr>
          <w:rFonts w:hint="eastAsia" w:ascii="仿宋" w:hAnsi="仿宋" w:eastAsia="仿宋"/>
          <w:b/>
          <w:kern w:val="0"/>
          <w:sz w:val="32"/>
          <w:szCs w:val="32"/>
        </w:rPr>
        <w:t>是</w:t>
      </w:r>
      <w:r>
        <w:rPr>
          <w:rFonts w:hint="eastAsia" w:ascii="仿宋" w:hAnsi="仿宋" w:eastAsia="仿宋"/>
          <w:kern w:val="0"/>
          <w:sz w:val="32"/>
          <w:szCs w:val="32"/>
        </w:rPr>
        <w:t>社会共治的趋势明显增强。公众对食品药品安全保障要求和自我保护意识明显增强，广大消费者参与维权和监督意识明显增强，新闻媒体等社会各界力量在食品药品安全的监督作用日趋明显。</w:t>
      </w:r>
    </w:p>
    <w:p>
      <w:pPr>
        <w:adjustRightInd w:val="0"/>
        <w:snapToGrid w:val="0"/>
        <w:spacing w:line="576" w:lineRule="exact"/>
        <w:ind w:firstLine="614" w:firstLineChars="191"/>
        <w:rPr>
          <w:rFonts w:ascii="仿宋" w:hAnsi="仿宋" w:eastAsia="仿宋" w:cs="仿宋"/>
          <w:sz w:val="32"/>
          <w:szCs w:val="32"/>
        </w:rPr>
      </w:pPr>
      <w:r>
        <w:rPr>
          <w:rFonts w:ascii="楷体" w:hAnsi="楷体" w:eastAsia="楷体"/>
          <w:b/>
          <w:sz w:val="32"/>
          <w:szCs w:val="32"/>
        </w:rPr>
        <w:t>挑战</w:t>
      </w:r>
      <w:r>
        <w:rPr>
          <w:rFonts w:hint="eastAsia" w:ascii="楷体" w:hAnsi="楷体" w:eastAsia="楷体"/>
          <w:b/>
          <w:sz w:val="32"/>
          <w:szCs w:val="32"/>
        </w:rPr>
        <w:t>方面：</w:t>
      </w:r>
      <w:r>
        <w:rPr>
          <w:rFonts w:hint="eastAsia" w:ascii="仿宋" w:hAnsi="仿宋" w:eastAsia="仿宋" w:cs="仿宋"/>
          <w:b/>
          <w:kern w:val="0"/>
          <w:sz w:val="32"/>
          <w:szCs w:val="32"/>
        </w:rPr>
        <w:t>一是</w:t>
      </w:r>
      <w:r>
        <w:rPr>
          <w:rFonts w:hint="eastAsia" w:ascii="仿宋" w:hAnsi="仿宋" w:eastAsia="仿宋" w:cs="仿宋"/>
          <w:kern w:val="0"/>
          <w:sz w:val="32"/>
          <w:szCs w:val="32"/>
        </w:rPr>
        <w:t>食品药品安全问题依然严峻。</w:t>
      </w:r>
      <w:r>
        <w:rPr>
          <w:rFonts w:hint="eastAsia" w:ascii="仿宋" w:hAnsi="仿宋" w:eastAsia="仿宋" w:cs="仿宋"/>
          <w:sz w:val="32"/>
          <w:szCs w:val="32"/>
        </w:rPr>
        <w:t>辖区食品产业产能不强，集中度低，</w:t>
      </w:r>
      <w:r>
        <w:rPr>
          <w:rFonts w:hint="eastAsia" w:ascii="仿宋" w:hAnsi="仿宋" w:eastAsia="仿宋" w:cs="仿宋"/>
          <w:kern w:val="0"/>
          <w:sz w:val="32"/>
          <w:szCs w:val="32"/>
        </w:rPr>
        <w:t>无证经营、制售假劣食品药品、农兽药残留等影响食品药品安全的深层次问题依然存在。</w:t>
      </w:r>
      <w:r>
        <w:rPr>
          <w:rFonts w:hint="eastAsia" w:ascii="仿宋" w:hAnsi="仿宋" w:eastAsia="仿宋" w:cs="仿宋"/>
          <w:b/>
          <w:sz w:val="32"/>
          <w:szCs w:val="32"/>
        </w:rPr>
        <w:t>二是</w:t>
      </w:r>
      <w:r>
        <w:rPr>
          <w:rFonts w:hint="eastAsia" w:ascii="仿宋" w:hAnsi="仿宋" w:eastAsia="仿宋" w:cs="仿宋"/>
          <w:sz w:val="32"/>
          <w:szCs w:val="32"/>
        </w:rPr>
        <w:t>食品药品监管任务与监管力量比对悬殊。随着辖区食品药品生产经营企业不断增加，辖区</w:t>
      </w:r>
      <w:r>
        <w:rPr>
          <w:rFonts w:hint="eastAsia" w:ascii="仿宋" w:hAnsi="仿宋" w:eastAsia="仿宋" w:cs="仿宋"/>
          <w:kern w:val="0"/>
          <w:sz w:val="32"/>
          <w:szCs w:val="32"/>
        </w:rPr>
        <w:t>监管力量、检验检测能力严重不足，与辖区经济发展水平、食品药品监管任务不相适应。</w:t>
      </w:r>
      <w:r>
        <w:rPr>
          <w:rFonts w:hint="eastAsia" w:ascii="仿宋" w:hAnsi="仿宋" w:eastAsia="仿宋" w:cs="仿宋"/>
          <w:b/>
          <w:sz w:val="32"/>
          <w:szCs w:val="32"/>
        </w:rPr>
        <w:t>三是</w:t>
      </w:r>
      <w:r>
        <w:rPr>
          <w:rFonts w:hint="eastAsia" w:ascii="仿宋" w:hAnsi="仿宋" w:eastAsia="仿宋" w:cs="仿宋"/>
          <w:sz w:val="32"/>
          <w:szCs w:val="32"/>
        </w:rPr>
        <w:t>企业诚信体系建设不够完善，从业人员素质参差不齐，企业主体责任落实不够，行业诚信道德体系建设滞后，部分企业特别是小作坊等食品安全投入不足、管理能力薄弱。</w:t>
      </w:r>
      <w:r>
        <w:rPr>
          <w:rFonts w:hint="eastAsia" w:ascii="仿宋" w:hAnsi="仿宋" w:eastAsia="仿宋" w:cs="仿宋"/>
          <w:b/>
          <w:sz w:val="32"/>
          <w:szCs w:val="32"/>
        </w:rPr>
        <w:t>四是</w:t>
      </w:r>
      <w:r>
        <w:rPr>
          <w:rFonts w:hint="eastAsia" w:ascii="仿宋" w:hAnsi="仿宋" w:eastAsia="仿宋" w:cs="仿宋"/>
          <w:sz w:val="32"/>
          <w:szCs w:val="32"/>
        </w:rPr>
        <w:t>社会共治格局尚未健全。在聚结社会公众、新闻媒体等各方力量、完善社会参与机制方面还不够完善，社会公众参与食品药品安全监管活动的程度还不高。</w:t>
      </w:r>
      <w:r>
        <w:rPr>
          <w:rFonts w:hint="eastAsia" w:ascii="仿宋" w:hAnsi="仿宋" w:eastAsia="仿宋" w:cs="仿宋"/>
          <w:b/>
          <w:sz w:val="32"/>
          <w:szCs w:val="32"/>
        </w:rPr>
        <w:t>五是</w:t>
      </w:r>
      <w:r>
        <w:rPr>
          <w:rFonts w:hint="eastAsia" w:ascii="仿宋" w:hAnsi="仿宋" w:eastAsia="仿宋" w:cs="仿宋"/>
          <w:sz w:val="32"/>
          <w:szCs w:val="32"/>
        </w:rPr>
        <w:t>信息化监管技术作用仍未发挥。</w:t>
      </w:r>
      <w:r>
        <w:rPr>
          <w:rFonts w:hint="eastAsia" w:ascii="仿宋" w:hAnsi="仿宋" w:eastAsia="仿宋" w:cs="仿宋"/>
          <w:kern w:val="0"/>
          <w:sz w:val="32"/>
          <w:szCs w:val="32"/>
        </w:rPr>
        <w:t>网售食品药品等新业态的不断涌现，</w:t>
      </w:r>
      <w:r>
        <w:rPr>
          <w:rFonts w:hint="eastAsia" w:ascii="仿宋" w:hAnsi="仿宋" w:eastAsia="仿宋" w:cs="仿宋"/>
          <w:sz w:val="32"/>
          <w:szCs w:val="32"/>
        </w:rPr>
        <w:t>带来了食品药品安全隐患新形态、违法违规新类型，对传统的监管方式和手段给予了很大挑战。</w:t>
      </w:r>
    </w:p>
    <w:p>
      <w:pPr>
        <w:adjustRightInd w:val="0"/>
        <w:snapToGrid w:val="0"/>
        <w:spacing w:line="576" w:lineRule="exact"/>
        <w:ind w:firstLine="611" w:firstLineChars="191"/>
        <w:rPr>
          <w:rFonts w:ascii="黑体" w:eastAsia="黑体"/>
          <w:sz w:val="32"/>
          <w:szCs w:val="32"/>
        </w:rPr>
      </w:pPr>
      <w:r>
        <w:rPr>
          <w:rFonts w:hint="eastAsia" w:ascii="仿宋_GB2312" w:eastAsia="仿宋_GB2312"/>
          <w:sz w:val="32"/>
          <w:szCs w:val="32"/>
        </w:rPr>
        <w:t xml:space="preserve"> </w:t>
      </w:r>
      <w:r>
        <w:rPr>
          <w:rFonts w:hint="eastAsia" w:ascii="黑体" w:hAnsi="仿宋" w:eastAsia="黑体"/>
          <w:kern w:val="0"/>
          <w:sz w:val="32"/>
          <w:szCs w:val="32"/>
        </w:rPr>
        <w:t>二、“十三五”食品药品安全总体要求与主要目标</w:t>
      </w:r>
    </w:p>
    <w:p>
      <w:pPr>
        <w:snapToGrid w:val="0"/>
        <w:spacing w:line="576" w:lineRule="exact"/>
        <w:ind w:firstLine="643" w:firstLineChars="200"/>
        <w:outlineLvl w:val="1"/>
        <w:rPr>
          <w:rFonts w:ascii="楷体" w:hAnsi="楷体" w:eastAsia="楷体"/>
          <w:b/>
          <w:sz w:val="32"/>
          <w:szCs w:val="32"/>
        </w:rPr>
      </w:pPr>
      <w:bookmarkStart w:id="2" w:name="_Toc443517694"/>
      <w:bookmarkStart w:id="3" w:name="_Toc434223872"/>
      <w:r>
        <w:rPr>
          <w:rFonts w:hint="eastAsia" w:ascii="楷体" w:hAnsi="楷体" w:eastAsia="楷体"/>
          <w:b/>
          <w:sz w:val="32"/>
          <w:szCs w:val="32"/>
        </w:rPr>
        <w:t>（一）指导思想</w:t>
      </w:r>
      <w:bookmarkEnd w:id="2"/>
      <w:bookmarkEnd w:id="3"/>
      <w:r>
        <w:rPr>
          <w:rFonts w:hint="eastAsia" w:ascii="楷体" w:hAnsi="楷体" w:eastAsia="楷体"/>
          <w:b/>
          <w:sz w:val="32"/>
          <w:szCs w:val="32"/>
          <w:lang w:eastAsia="zh-CN"/>
        </w:rPr>
        <w:t>。</w:t>
      </w:r>
    </w:p>
    <w:p>
      <w:pPr>
        <w:snapToGrid w:val="0"/>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以邓小平理论、“三个代表”重要思想、科学发展观为指导，全面贯彻落实党的</w:t>
      </w:r>
      <w:r>
        <w:rPr>
          <w:rFonts w:hint="eastAsia" w:ascii="仿宋" w:hAnsi="仿宋" w:eastAsia="仿宋"/>
          <w:kern w:val="0"/>
          <w:sz w:val="32"/>
          <w:szCs w:val="32"/>
        </w:rPr>
        <w:t>十八大和</w:t>
      </w:r>
      <w:r>
        <w:rPr>
          <w:rFonts w:hint="eastAsia" w:ascii="仿宋" w:hAnsi="仿宋" w:eastAsia="仿宋" w:cs="仿宋"/>
          <w:kern w:val="0"/>
          <w:sz w:val="32"/>
          <w:szCs w:val="32"/>
        </w:rPr>
        <w:t>十九大会议精神</w:t>
      </w:r>
      <w:r>
        <w:rPr>
          <w:rFonts w:hint="eastAsia" w:ascii="仿宋" w:hAnsi="仿宋" w:eastAsia="仿宋" w:cs="仿宋"/>
          <w:sz w:val="32"/>
          <w:szCs w:val="32"/>
        </w:rPr>
        <w:t>，按照</w:t>
      </w:r>
      <w:r>
        <w:rPr>
          <w:rFonts w:hint="eastAsia" w:ascii="仿宋" w:hAnsi="仿宋" w:eastAsia="仿宋" w:cs="仿宋"/>
          <w:kern w:val="0"/>
          <w:sz w:val="32"/>
          <w:szCs w:val="32"/>
        </w:rPr>
        <w:t>“四个最严”（即最严谨的标准、最严格的监管、最严厉的处罚、最严肃的问责）要求，</w:t>
      </w:r>
      <w:r>
        <w:rPr>
          <w:rFonts w:hint="eastAsia" w:ascii="仿宋" w:hAnsi="仿宋" w:eastAsia="仿宋" w:cs="仿宋"/>
          <w:sz w:val="32"/>
          <w:szCs w:val="32"/>
        </w:rPr>
        <w:t>按照构建统一权威的食品药品安全监管体系、保障食品药品安全的总要求，以创新食品药品监管体制机制为抓手，强化风险监管意识，依法履行政府监管职责，保障人民群众饮食用药安全，</w:t>
      </w:r>
      <w:r>
        <w:rPr>
          <w:rFonts w:hint="eastAsia" w:ascii="仿宋" w:hAnsi="仿宋" w:eastAsia="仿宋" w:cs="仿宋"/>
          <w:kern w:val="0"/>
          <w:sz w:val="32"/>
          <w:szCs w:val="32"/>
        </w:rPr>
        <w:t>为辖区全面建成小康社会作出应有贡献。</w:t>
      </w:r>
    </w:p>
    <w:p>
      <w:pPr>
        <w:snapToGrid w:val="0"/>
        <w:spacing w:line="576" w:lineRule="exact"/>
        <w:ind w:firstLine="643" w:firstLineChars="200"/>
        <w:outlineLvl w:val="1"/>
        <w:rPr>
          <w:rFonts w:ascii="楷体" w:hAnsi="楷体" w:eastAsia="楷体"/>
          <w:b/>
          <w:sz w:val="32"/>
          <w:szCs w:val="32"/>
        </w:rPr>
      </w:pPr>
      <w:bookmarkStart w:id="4" w:name="_Toc443517695"/>
      <w:bookmarkStart w:id="5" w:name="_Toc434223873"/>
      <w:r>
        <w:rPr>
          <w:rFonts w:hint="eastAsia" w:ascii="楷体" w:hAnsi="楷体" w:eastAsia="楷体"/>
          <w:b/>
          <w:sz w:val="32"/>
          <w:szCs w:val="32"/>
        </w:rPr>
        <w:t>（二）基本原则</w:t>
      </w:r>
      <w:bookmarkEnd w:id="4"/>
      <w:bookmarkEnd w:id="5"/>
      <w:r>
        <w:rPr>
          <w:rFonts w:hint="eastAsia" w:ascii="楷体" w:hAnsi="楷体" w:eastAsia="楷体"/>
          <w:b/>
          <w:sz w:val="32"/>
          <w:szCs w:val="32"/>
          <w:lang w:eastAsia="zh-CN"/>
        </w:rPr>
        <w:t>。</w:t>
      </w:r>
    </w:p>
    <w:p>
      <w:pPr>
        <w:spacing w:line="576" w:lineRule="exact"/>
        <w:ind w:firstLine="643" w:firstLineChars="200"/>
        <w:rPr>
          <w:rFonts w:ascii="仿宋" w:hAnsi="仿宋" w:eastAsia="仿宋" w:cs="仿宋"/>
          <w:sz w:val="32"/>
          <w:szCs w:val="32"/>
        </w:rPr>
      </w:pPr>
      <w:bookmarkStart w:id="6" w:name="_Toc434223874"/>
      <w:r>
        <w:rPr>
          <w:rFonts w:hint="eastAsia" w:ascii="仿宋" w:hAnsi="仿宋" w:eastAsia="仿宋" w:cs="仿宋"/>
          <w:b/>
          <w:sz w:val="32"/>
          <w:szCs w:val="32"/>
        </w:rPr>
        <w:t>合理配置资源，强化基层监管。</w:t>
      </w:r>
      <w:r>
        <w:rPr>
          <w:rFonts w:hint="eastAsia" w:ascii="仿宋" w:hAnsi="仿宋" w:eastAsia="仿宋" w:cs="仿宋"/>
          <w:sz w:val="32"/>
          <w:szCs w:val="32"/>
        </w:rPr>
        <w:t>坚持以提升基层监管能力为重点，加强统筹规划协调，优化配置监管资源，加大基层投入，逐步改善执法条件，提升基层执法水平，确保基层食品药品安全监管“四有两责”（即有责、有岗、有人、有手段，日常监管责任和监督抽验责任）落实到位。</w:t>
      </w:r>
    </w:p>
    <w:p>
      <w:pPr>
        <w:spacing w:line="576" w:lineRule="exact"/>
        <w:ind w:firstLine="643" w:firstLineChars="200"/>
        <w:rPr>
          <w:rFonts w:ascii="仿宋" w:hAnsi="仿宋" w:eastAsia="仿宋" w:cs="仿宋"/>
          <w:sz w:val="32"/>
          <w:szCs w:val="32"/>
        </w:rPr>
      </w:pPr>
      <w:r>
        <w:rPr>
          <w:rFonts w:hint="eastAsia" w:ascii="仿宋" w:hAnsi="仿宋" w:eastAsia="仿宋" w:cs="仿宋"/>
          <w:b/>
          <w:sz w:val="32"/>
          <w:szCs w:val="32"/>
        </w:rPr>
        <w:t>严密防控风险，实现科学监管。</w:t>
      </w:r>
      <w:r>
        <w:rPr>
          <w:rFonts w:hint="eastAsia" w:ascii="仿宋" w:hAnsi="仿宋" w:eastAsia="仿宋" w:cs="仿宋"/>
          <w:sz w:val="32"/>
          <w:szCs w:val="32"/>
        </w:rPr>
        <w:t>树立科学监管理念，逐步完善“双随机”监管机制。强化源头治理和监管关口前移，加强风险排查，及时消除隐患。进一步完善食品药品风险监测体系，提升食用农产品检验检测能力。应用信息化安全监管新技术，强化应急管理，完善预警机制，提高食品药品安全科学监管水平。</w:t>
      </w:r>
    </w:p>
    <w:p>
      <w:pPr>
        <w:spacing w:line="576" w:lineRule="exact"/>
        <w:ind w:firstLine="643" w:firstLineChars="200"/>
        <w:rPr>
          <w:rFonts w:ascii="仿宋" w:hAnsi="仿宋" w:eastAsia="仿宋" w:cs="仿宋"/>
          <w:sz w:val="32"/>
          <w:szCs w:val="32"/>
        </w:rPr>
      </w:pPr>
      <w:r>
        <w:rPr>
          <w:rFonts w:hint="eastAsia" w:ascii="仿宋" w:hAnsi="仿宋" w:eastAsia="仿宋" w:cs="仿宋"/>
          <w:b/>
          <w:sz w:val="32"/>
          <w:szCs w:val="32"/>
        </w:rPr>
        <w:t>坚决依法行政，完善长效机制。</w:t>
      </w:r>
      <w:r>
        <w:rPr>
          <w:rFonts w:hint="eastAsia" w:ascii="仿宋" w:hAnsi="仿宋" w:eastAsia="仿宋" w:cs="仿宋"/>
          <w:sz w:val="32"/>
          <w:szCs w:val="32"/>
        </w:rPr>
        <w:t>牢固树立“法无授权不可为、法无禁止皆可为、法定职责必须为”的工作准则，严格将法律法规体系作为食品药品安全监管的依据，完善监管制度，规范监管行为，统一执法规程，建立长效机制，实现对食品药品生产经营全过程监管。</w:t>
      </w:r>
    </w:p>
    <w:p>
      <w:pPr>
        <w:snapToGrid w:val="0"/>
        <w:spacing w:line="576" w:lineRule="exact"/>
        <w:ind w:firstLine="643" w:firstLineChars="200"/>
        <w:rPr>
          <w:rFonts w:ascii="仿宋_GB2312" w:hAnsi="仿宋" w:eastAsia="仿宋_GB2312"/>
          <w:kern w:val="0"/>
          <w:sz w:val="32"/>
          <w:szCs w:val="32"/>
        </w:rPr>
      </w:pPr>
      <w:r>
        <w:rPr>
          <w:rFonts w:hint="eastAsia" w:ascii="仿宋" w:hAnsi="仿宋" w:eastAsia="仿宋" w:cs="仿宋"/>
          <w:b/>
          <w:kern w:val="0"/>
          <w:sz w:val="32"/>
          <w:szCs w:val="32"/>
        </w:rPr>
        <w:t>坚持行政主导，注重社会共治</w:t>
      </w:r>
      <w:r>
        <w:rPr>
          <w:rFonts w:hint="eastAsia" w:ascii="仿宋" w:hAnsi="仿宋" w:eastAsia="仿宋" w:cs="仿宋"/>
          <w:kern w:val="0"/>
          <w:sz w:val="32"/>
          <w:szCs w:val="32"/>
        </w:rPr>
        <w:t>。发挥政府监管的主导作用，积极探索社会各界有效参与的食品药品安全监管模式。加强政策引导，鼓励和调动社会力量广泛参与监督，加快食品药品安全公众信息互动平台建设和社会诚信体系建设，形成政府监管、企业自律、社会协同、公众参与、法制保障的食品药品安全社会共治格局。</w:t>
      </w:r>
    </w:p>
    <w:bookmarkEnd w:id="6"/>
    <w:p>
      <w:pPr>
        <w:snapToGrid w:val="0"/>
        <w:spacing w:line="576" w:lineRule="exact"/>
        <w:ind w:firstLine="643" w:firstLineChars="200"/>
        <w:outlineLvl w:val="1"/>
        <w:rPr>
          <w:rFonts w:ascii="楷体" w:hAnsi="楷体" w:eastAsia="楷体"/>
          <w:b/>
          <w:sz w:val="32"/>
          <w:szCs w:val="32"/>
        </w:rPr>
      </w:pPr>
      <w:bookmarkStart w:id="7" w:name="_Toc443517696"/>
      <w:bookmarkStart w:id="8" w:name="_Toc434223876"/>
      <w:r>
        <w:rPr>
          <w:rFonts w:hint="eastAsia" w:ascii="楷体" w:hAnsi="楷体" w:eastAsia="楷体"/>
          <w:b/>
          <w:sz w:val="32"/>
          <w:szCs w:val="32"/>
        </w:rPr>
        <w:t>（三）主要目标</w:t>
      </w:r>
      <w:bookmarkEnd w:id="7"/>
      <w:r>
        <w:rPr>
          <w:rFonts w:hint="eastAsia" w:ascii="楷体" w:hAnsi="楷体" w:eastAsia="楷体"/>
          <w:b/>
          <w:sz w:val="32"/>
          <w:szCs w:val="32"/>
          <w:lang w:eastAsia="zh-CN"/>
        </w:rPr>
        <w:t>。</w:t>
      </w:r>
    </w:p>
    <w:p>
      <w:pPr>
        <w:shd w:val="clear" w:color="auto" w:fill="FFFFFF"/>
        <w:spacing w:line="576" w:lineRule="exact"/>
        <w:ind w:firstLine="640" w:firstLineChars="200"/>
        <w:rPr>
          <w:rFonts w:ascii="仿宋" w:hAnsi="仿宋" w:eastAsia="仿宋" w:cs="仿宋"/>
          <w:sz w:val="32"/>
          <w:szCs w:val="32"/>
        </w:rPr>
      </w:pPr>
      <w:r>
        <w:rPr>
          <w:rFonts w:hint="eastAsia" w:ascii="仿宋" w:hAnsi="仿宋" w:eastAsia="仿宋" w:cs="仿宋"/>
          <w:kern w:val="0"/>
          <w:sz w:val="32"/>
          <w:szCs w:val="32"/>
        </w:rPr>
        <w:t>到“十三五”末，</w:t>
      </w:r>
      <w:r>
        <w:rPr>
          <w:rFonts w:hint="eastAsia" w:ascii="仿宋" w:hAnsi="仿宋" w:eastAsia="仿宋" w:cs="仿宋"/>
          <w:sz w:val="32"/>
          <w:szCs w:val="32"/>
        </w:rPr>
        <w:t>逐步建立机制协调、统一权威的食品药品安全治理体系，食品药品风险监测和评估体系基本建立，依法监管、监管技术和水平进一步提高，监管队伍素质和依法行政能力进一步提升，社会共治格局不断完善，逐步实现食品药品安全的重要品种全覆盖、全链条追溯、全系统联动、全过程监管；不断提高公众饮食用药安全保障水平和群众食品药品安全满意度。</w:t>
      </w:r>
    </w:p>
    <w:p>
      <w:pPr>
        <w:shd w:val="clear" w:color="auto" w:fill="FFFFFF"/>
        <w:spacing w:line="576" w:lineRule="exact"/>
        <w:ind w:firstLine="643" w:firstLineChars="200"/>
        <w:rPr>
          <w:rFonts w:ascii="仿宋" w:hAnsi="仿宋" w:eastAsia="仿宋" w:cs="仿宋"/>
          <w:b/>
          <w:kern w:val="0"/>
          <w:sz w:val="32"/>
          <w:szCs w:val="32"/>
        </w:rPr>
      </w:pPr>
      <w:r>
        <w:rPr>
          <w:rFonts w:hint="eastAsia" w:ascii="仿宋" w:hAnsi="仿宋" w:eastAsia="仿宋" w:cs="仿宋"/>
          <w:b/>
          <w:sz w:val="32"/>
          <w:szCs w:val="32"/>
        </w:rPr>
        <w:t>具体指标：</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1.食品生产经营企业全面符合良好生产规范，食品生产经营企业100%实现风险分级管理；食品生产经营企业良好规范建设率不低于80%；全区餐饮服务单位量化分级管理率达100%，实现明厨亮灶100%。</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2.全面完成市食品药品监管局下达的经营企业GSP跟踪检查任务；经营处方药的药品零售企业执业药师配备率达到100%，国家基本药物流向可追溯率达100%，市场流通药品可追溯率达90%以上。</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3.化妆品生产经营企业100%符合化妆品生产经营企业规范。</w:t>
      </w:r>
    </w:p>
    <w:p>
      <w:pPr>
        <w:spacing w:line="576" w:lineRule="exact"/>
        <w:ind w:firstLine="640" w:firstLineChars="200"/>
        <w:rPr>
          <w:rFonts w:ascii="仿宋" w:hAnsi="仿宋" w:eastAsia="仿宋"/>
          <w:sz w:val="32"/>
          <w:szCs w:val="32"/>
        </w:rPr>
      </w:pPr>
      <w:r>
        <w:rPr>
          <w:rFonts w:hint="eastAsia" w:ascii="仿宋" w:hAnsi="仿宋" w:eastAsia="仿宋" w:cs="仿宋"/>
          <w:sz w:val="32"/>
          <w:szCs w:val="32"/>
        </w:rPr>
        <w:t>4.建立健全食品药品监管档案、信用档案，电子追溯信息入</w:t>
      </w:r>
      <w:r>
        <w:rPr>
          <w:rFonts w:hint="eastAsia" w:ascii="仿宋" w:hAnsi="仿宋" w:eastAsia="仿宋"/>
          <w:sz w:val="32"/>
          <w:szCs w:val="32"/>
        </w:rPr>
        <w:t>网覆盖率达到90%以上；食品药品日常监管移动执法实施率95%；实现本区食品药品主要产品交易网站第三方交易平台交易信息全程监管。</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5.食品药品行政审批网上办事实施率不断提高；政务信息公开率100%；食品药品科普宣教活动覆盖全区。到2020年末，公众对食品安全基本知晓率达80%。</w:t>
      </w:r>
    </w:p>
    <w:p>
      <w:pPr>
        <w:shd w:val="clear" w:color="auto" w:fill="FFFFFF"/>
        <w:spacing w:line="576" w:lineRule="exact"/>
        <w:ind w:firstLine="640" w:firstLineChars="200"/>
        <w:rPr>
          <w:rFonts w:ascii="仿宋" w:hAnsi="仿宋" w:eastAsia="仿宋" w:cs="Calibri"/>
          <w:kern w:val="0"/>
          <w:sz w:val="32"/>
          <w:szCs w:val="32"/>
        </w:rPr>
      </w:pPr>
      <w:r>
        <w:rPr>
          <w:rFonts w:hint="eastAsia" w:ascii="仿宋" w:hAnsi="仿宋" w:eastAsia="仿宋"/>
          <w:sz w:val="32"/>
          <w:szCs w:val="32"/>
        </w:rPr>
        <w:t>6.</w:t>
      </w:r>
      <w:r>
        <w:rPr>
          <w:rFonts w:hint="eastAsia" w:ascii="仿宋" w:hAnsi="仿宋" w:eastAsia="仿宋" w:cs="Calibri"/>
          <w:bCs/>
          <w:kern w:val="0"/>
          <w:sz w:val="32"/>
          <w:szCs w:val="32"/>
        </w:rPr>
        <w:t>社会共治格局基本形成</w:t>
      </w:r>
      <w:r>
        <w:rPr>
          <w:rFonts w:hint="eastAsia" w:ascii="仿宋" w:hAnsi="仿宋" w:eastAsia="仿宋" w:cs="Calibri"/>
          <w:bCs/>
          <w:sz w:val="32"/>
          <w:szCs w:val="32"/>
        </w:rPr>
        <w:t>。</w:t>
      </w:r>
      <w:r>
        <w:rPr>
          <w:rFonts w:hint="eastAsia" w:ascii="仿宋" w:hAnsi="仿宋" w:eastAsia="仿宋" w:cs="Calibri"/>
          <w:kern w:val="0"/>
          <w:sz w:val="32"/>
          <w:szCs w:val="32"/>
        </w:rPr>
        <w:t>公众参与食品药品安全治理程度不断提升、渠道不断拓展，识别假劣食品药品能力以及自我保护、消费维权意识明显增强，群众食品药品安全满意度持续提升，全社会共防共治意识整体增强。</w:t>
      </w:r>
    </w:p>
    <w:bookmarkEnd w:id="8"/>
    <w:p>
      <w:pPr>
        <w:snapToGrid w:val="0"/>
        <w:spacing w:line="576" w:lineRule="exact"/>
        <w:ind w:firstLine="640" w:firstLineChars="200"/>
        <w:outlineLvl w:val="0"/>
        <w:rPr>
          <w:rFonts w:ascii="黑体" w:hAnsi="楷体" w:eastAsia="黑体"/>
          <w:sz w:val="32"/>
          <w:szCs w:val="32"/>
        </w:rPr>
      </w:pPr>
      <w:bookmarkStart w:id="9" w:name="_Toc443517697"/>
      <w:r>
        <w:rPr>
          <w:rFonts w:hint="eastAsia" w:ascii="黑体" w:hAnsi="楷体" w:eastAsia="黑体"/>
          <w:sz w:val="32"/>
          <w:szCs w:val="32"/>
        </w:rPr>
        <w:t>三、主要任务</w:t>
      </w:r>
      <w:bookmarkEnd w:id="9"/>
    </w:p>
    <w:p>
      <w:pPr>
        <w:snapToGrid w:val="0"/>
        <w:spacing w:line="576" w:lineRule="exact"/>
        <w:ind w:firstLine="643" w:firstLineChars="200"/>
        <w:outlineLvl w:val="1"/>
        <w:rPr>
          <w:rFonts w:ascii="楷体" w:hAnsi="楷体" w:eastAsia="楷体"/>
          <w:b/>
          <w:sz w:val="32"/>
          <w:szCs w:val="32"/>
        </w:rPr>
      </w:pPr>
      <w:bookmarkStart w:id="10" w:name="_Toc443517698"/>
      <w:r>
        <w:rPr>
          <w:rFonts w:hint="eastAsia" w:ascii="楷体" w:hAnsi="楷体" w:eastAsia="楷体"/>
          <w:b/>
          <w:sz w:val="32"/>
          <w:szCs w:val="32"/>
        </w:rPr>
        <w:t>（一）建立权责明确的食品药品监管责任体系</w:t>
      </w:r>
      <w:bookmarkEnd w:id="10"/>
      <w:r>
        <w:rPr>
          <w:rFonts w:hint="eastAsia" w:ascii="楷体" w:hAnsi="楷体" w:eastAsia="楷体"/>
          <w:b/>
          <w:sz w:val="32"/>
          <w:szCs w:val="32"/>
          <w:lang w:eastAsia="zh-CN"/>
        </w:rPr>
        <w:t>。</w:t>
      </w:r>
    </w:p>
    <w:p>
      <w:pPr>
        <w:spacing w:line="576" w:lineRule="exact"/>
        <w:ind w:firstLine="643" w:firstLineChars="200"/>
        <w:outlineLvl w:val="2"/>
        <w:rPr>
          <w:rFonts w:ascii="仿宋" w:hAnsi="仿宋" w:eastAsia="仿宋"/>
          <w:sz w:val="32"/>
          <w:szCs w:val="32"/>
        </w:rPr>
      </w:pPr>
      <w:r>
        <w:rPr>
          <w:rFonts w:hint="eastAsia" w:ascii="仿宋" w:hAnsi="仿宋" w:eastAsia="仿宋"/>
          <w:b/>
          <w:sz w:val="32"/>
          <w:szCs w:val="32"/>
        </w:rPr>
        <w:t>1.强化责任。</w:t>
      </w:r>
      <w:r>
        <w:rPr>
          <w:rFonts w:hint="eastAsia" w:ascii="仿宋" w:hAnsi="仿宋" w:eastAsia="仿宋"/>
          <w:sz w:val="32"/>
          <w:szCs w:val="32"/>
        </w:rPr>
        <w:t>建立完善安全责任体系，将食品药品安全纳入年度综合考评体系，推动食品药品安全监管工作责任。加强食品药品安全工作的组织领导和工作协调，加大食品药品安全监管人员编制、政策保障、监管经费等方面的支持力度。</w:t>
      </w:r>
    </w:p>
    <w:p>
      <w:pPr>
        <w:spacing w:line="576" w:lineRule="exact"/>
        <w:ind w:firstLine="643" w:firstLineChars="200"/>
        <w:outlineLvl w:val="2"/>
        <w:rPr>
          <w:rFonts w:ascii="仿宋" w:hAnsi="仿宋" w:eastAsia="仿宋"/>
          <w:kern w:val="0"/>
          <w:sz w:val="32"/>
          <w:szCs w:val="32"/>
        </w:rPr>
      </w:pPr>
      <w:r>
        <w:rPr>
          <w:rFonts w:hint="eastAsia" w:ascii="仿宋" w:hAnsi="仿宋" w:eastAsia="仿宋"/>
          <w:b/>
          <w:sz w:val="32"/>
          <w:szCs w:val="32"/>
        </w:rPr>
        <w:t>2.强化部门监管责任。</w:t>
      </w:r>
      <w:r>
        <w:rPr>
          <w:rFonts w:hint="eastAsia" w:ascii="仿宋" w:hAnsi="仿宋" w:eastAsia="仿宋"/>
          <w:sz w:val="32"/>
          <w:szCs w:val="32"/>
        </w:rPr>
        <w:t>进一步明确监管部门工作职责，健全食品药品安全监管协调机制，完善食品药品安全监管部门议事、信息通报、风险会商、重大事故调查等工作制度。推行行政执法公示和权力清单制度，逐步落实行政问责制度。</w:t>
      </w:r>
      <w:r>
        <w:rPr>
          <w:rFonts w:hint="eastAsia" w:ascii="仿宋" w:hAnsi="仿宋" w:eastAsia="仿宋"/>
          <w:kern w:val="0"/>
          <w:sz w:val="32"/>
          <w:szCs w:val="32"/>
        </w:rPr>
        <w:t>完善食品药品监管部门与执法部门之间案件移送、涉案物品处置、信息共享等工作机制。</w:t>
      </w:r>
    </w:p>
    <w:p>
      <w:pPr>
        <w:spacing w:line="576" w:lineRule="exact"/>
        <w:ind w:firstLine="643" w:firstLineChars="200"/>
        <w:rPr>
          <w:rFonts w:ascii="仿宋_GB2312" w:eastAsia="仿宋_GB2312"/>
          <w:sz w:val="32"/>
          <w:szCs w:val="32"/>
        </w:rPr>
      </w:pPr>
      <w:r>
        <w:rPr>
          <w:rFonts w:hint="eastAsia" w:ascii="仿宋" w:hAnsi="仿宋" w:eastAsia="仿宋"/>
          <w:b/>
          <w:sz w:val="32"/>
          <w:szCs w:val="32"/>
        </w:rPr>
        <w:t>3.强化企业主体责任。</w:t>
      </w:r>
      <w:r>
        <w:rPr>
          <w:rFonts w:hint="eastAsia" w:ascii="仿宋" w:hAnsi="仿宋" w:eastAsia="仿宋"/>
          <w:sz w:val="32"/>
          <w:szCs w:val="32"/>
        </w:rPr>
        <w:t>建立健全食品药品生产经营者质量安全管理制度。推进食品生产经营企业落实食品安全自查和报告制度、从业人员培训考核制度、食品出厂检验制度、食品安全信息追溯制度和食品召回制度。建立健全药品经营企业的药品安全、有效管理制度。建立健全医疗器械经营企业的管理制度。督促食品药品生产经营企业严格依照法律、法规和食品药品安全标准诚信生产、诚信经营。着力规范食品药品标签、说明书、广告用语和临近保质期食品消费提示管理。</w:t>
      </w:r>
    </w:p>
    <w:p>
      <w:pPr>
        <w:spacing w:line="576" w:lineRule="exact"/>
        <w:ind w:firstLine="643" w:firstLineChars="200"/>
        <w:rPr>
          <w:rFonts w:ascii="楷体" w:hAnsi="楷体" w:eastAsia="楷体"/>
          <w:b/>
          <w:sz w:val="32"/>
          <w:szCs w:val="32"/>
        </w:rPr>
      </w:pPr>
      <w:r>
        <w:rPr>
          <w:rFonts w:hint="eastAsia" w:ascii="楷体" w:hAnsi="楷体" w:eastAsia="楷体"/>
          <w:b/>
          <w:sz w:val="32"/>
          <w:szCs w:val="32"/>
        </w:rPr>
        <w:t>（二</w:t>
      </w:r>
      <w:r>
        <w:rPr>
          <w:rFonts w:ascii="楷体" w:hAnsi="楷体" w:eastAsia="楷体"/>
          <w:b/>
          <w:sz w:val="32"/>
          <w:szCs w:val="32"/>
        </w:rPr>
        <w:t>）</w:t>
      </w:r>
      <w:r>
        <w:rPr>
          <w:rFonts w:hint="eastAsia" w:ascii="楷体" w:hAnsi="楷体" w:eastAsia="楷体"/>
          <w:b/>
          <w:sz w:val="32"/>
          <w:szCs w:val="32"/>
        </w:rPr>
        <w:t>建立健全统一权威的食品药品监管体系</w:t>
      </w:r>
      <w:r>
        <w:rPr>
          <w:rFonts w:hint="eastAsia" w:ascii="楷体" w:hAnsi="楷体" w:eastAsia="楷体"/>
          <w:b/>
          <w:sz w:val="32"/>
          <w:szCs w:val="32"/>
          <w:lang w:eastAsia="zh-CN"/>
        </w:rPr>
        <w:t>。</w:t>
      </w:r>
    </w:p>
    <w:p>
      <w:pPr>
        <w:spacing w:line="576" w:lineRule="exact"/>
        <w:ind w:firstLine="643" w:firstLineChars="200"/>
        <w:outlineLvl w:val="2"/>
        <w:rPr>
          <w:rFonts w:ascii="仿宋" w:hAnsi="仿宋" w:eastAsia="仿宋"/>
          <w:sz w:val="32"/>
          <w:szCs w:val="32"/>
        </w:rPr>
      </w:pPr>
      <w:r>
        <w:rPr>
          <w:rFonts w:hint="eastAsia" w:ascii="仿宋" w:hAnsi="仿宋" w:eastAsia="仿宋"/>
          <w:b/>
          <w:sz w:val="32"/>
          <w:szCs w:val="32"/>
        </w:rPr>
        <w:t>1.完善食品药品安全监管网络。</w:t>
      </w:r>
      <w:r>
        <w:rPr>
          <w:rFonts w:hint="eastAsia" w:ascii="仿宋" w:hAnsi="仿宋" w:eastAsia="仿宋"/>
          <w:sz w:val="32"/>
          <w:szCs w:val="32"/>
        </w:rPr>
        <w:t>不断完善监管网络，加强基层食品药品监管专业的综合执法，加强基层监管技术力量和能力建设，建立科学、严格的监督管理制度。认真落实食品药品监管人员的职责，保障食品药品安全。</w:t>
      </w:r>
    </w:p>
    <w:p>
      <w:pPr>
        <w:spacing w:line="576" w:lineRule="exact"/>
        <w:ind w:firstLine="643" w:firstLineChars="200"/>
        <w:outlineLvl w:val="2"/>
        <w:rPr>
          <w:rFonts w:ascii="仿宋" w:hAnsi="仿宋" w:eastAsia="仿宋"/>
          <w:kern w:val="0"/>
          <w:sz w:val="32"/>
          <w:szCs w:val="32"/>
        </w:rPr>
      </w:pPr>
      <w:r>
        <w:rPr>
          <w:rFonts w:hint="eastAsia" w:ascii="仿宋" w:hAnsi="仿宋" w:eastAsia="仿宋"/>
          <w:b/>
          <w:sz w:val="32"/>
          <w:szCs w:val="32"/>
        </w:rPr>
        <w:t>2.完善食品药品风险监测评估体系。</w:t>
      </w:r>
      <w:r>
        <w:rPr>
          <w:rFonts w:hint="eastAsia" w:ascii="仿宋" w:hAnsi="仿宋" w:eastAsia="仿宋"/>
          <w:kern w:val="0"/>
          <w:sz w:val="32"/>
          <w:szCs w:val="32"/>
        </w:rPr>
        <w:t>完善食品药品不良反应（事件）和安全风险监测、评估和预警的机构、机制，建立覆盖不良反应（事件）监测、质量抽验、投诉举报、监督执法以及舆情监测等全方位的风险监测与评估体系。加强药品、医疗器械和化妆品风险监测哨点建设，提高食品药品重点品种监测和风险预警能力，及时向社会发布相关监测预警信息。</w:t>
      </w:r>
    </w:p>
    <w:p>
      <w:pPr>
        <w:spacing w:line="360" w:lineRule="auto"/>
        <w:ind w:firstLine="643" w:firstLineChars="200"/>
        <w:rPr>
          <w:rFonts w:ascii="仿宋" w:hAnsi="仿宋" w:eastAsia="仿宋"/>
          <w:sz w:val="32"/>
          <w:szCs w:val="32"/>
        </w:rPr>
      </w:pPr>
      <w:r>
        <w:rPr>
          <w:rFonts w:hint="eastAsia" w:ascii="仿宋" w:hAnsi="仿宋" w:eastAsia="仿宋"/>
          <w:b/>
          <w:kern w:val="0"/>
          <w:sz w:val="32"/>
          <w:szCs w:val="32"/>
        </w:rPr>
        <w:t>3.完善食品药品监管信息化体系</w:t>
      </w:r>
      <w:r>
        <w:rPr>
          <w:rFonts w:hint="eastAsia" w:ascii="仿宋" w:hAnsi="仿宋" w:eastAsia="仿宋"/>
          <w:b/>
          <w:sz w:val="32"/>
          <w:szCs w:val="32"/>
        </w:rPr>
        <w:t>。</w:t>
      </w:r>
      <w:r>
        <w:rPr>
          <w:rFonts w:hint="eastAsia" w:ascii="仿宋" w:hAnsi="仿宋" w:eastAsia="仿宋"/>
          <w:sz w:val="32"/>
          <w:szCs w:val="32"/>
        </w:rPr>
        <w:t>加快推进食品药品监管信息化建设，重点建设食品药品动态监管信息系统、产品电子追溯信息系统、举报投诉服务系统等，覆盖全区食品药品日常监管、行政执法、检验检测、源头追溯、公共服务、监管辅助、应急管理等方面，形成互联互通、信息共享、业务协同、统一高效的信息化体系，提高食品药品安全监管效能。</w:t>
      </w:r>
    </w:p>
    <w:p>
      <w:pPr>
        <w:spacing w:line="576" w:lineRule="exact"/>
        <w:ind w:firstLine="643" w:firstLineChars="200"/>
        <w:outlineLvl w:val="2"/>
        <w:rPr>
          <w:rFonts w:ascii="仿宋" w:hAnsi="仿宋" w:eastAsia="仿宋"/>
          <w:kern w:val="0"/>
          <w:sz w:val="32"/>
          <w:szCs w:val="32"/>
        </w:rPr>
      </w:pPr>
      <w:r>
        <w:rPr>
          <w:rFonts w:hint="eastAsia" w:ascii="仿宋" w:hAnsi="仿宋" w:eastAsia="仿宋"/>
          <w:b/>
          <w:sz w:val="32"/>
          <w:szCs w:val="32"/>
        </w:rPr>
        <w:t>4.完善食品药品行政执法体系。</w:t>
      </w:r>
      <w:r>
        <w:rPr>
          <w:rFonts w:hint="eastAsia" w:ascii="仿宋" w:hAnsi="仿宋" w:eastAsia="仿宋"/>
          <w:kern w:val="0"/>
          <w:sz w:val="32"/>
          <w:szCs w:val="32"/>
        </w:rPr>
        <w:t>加强执法队伍区域管理、基层协调、案件查办等能力建设；加强食品药品安全监管执法联动，完善食品药品安全风险监测、风险评估交流、抽样检验、突发事件处置、重大活动保障、投诉举报处理、信息报送、宣传培训等联动合作机制。依法主动公开行政许可、行政处罚、企业信用、典型案例、安全事件等信息。在食品药品生产经营场所公示监管责任人员及其职责、企业行政许可及日常监管等信息。</w:t>
      </w:r>
    </w:p>
    <w:p>
      <w:pPr>
        <w:spacing w:line="576" w:lineRule="exact"/>
        <w:ind w:firstLine="643" w:firstLineChars="200"/>
        <w:outlineLvl w:val="2"/>
        <w:rPr>
          <w:rFonts w:ascii="仿宋" w:hAnsi="仿宋" w:eastAsia="仿宋"/>
          <w:sz w:val="32"/>
          <w:szCs w:val="32"/>
        </w:rPr>
      </w:pPr>
      <w:r>
        <w:rPr>
          <w:rFonts w:hint="eastAsia" w:ascii="仿宋" w:hAnsi="仿宋" w:eastAsia="仿宋"/>
          <w:b/>
          <w:sz w:val="32"/>
          <w:szCs w:val="32"/>
        </w:rPr>
        <w:t>5.完善食品药品应急管理体系。</w:t>
      </w:r>
      <w:r>
        <w:rPr>
          <w:rFonts w:hint="eastAsia" w:ascii="仿宋" w:hAnsi="仿宋" w:eastAsia="仿宋"/>
          <w:sz w:val="32"/>
          <w:szCs w:val="32"/>
        </w:rPr>
        <w:t>健全应急管理机制，进一步加强应急管理队伍建设，组织开展食品药品突发事件应急培训，提高突发应急事件的处置能力。加强食品药品安全舆情监测系统、应急指挥决策系统、应急装备配备的建设，建立和完善应急检验监测绿色通道制度和运行机制，提高突发事件应急检验监测技术水平，不断完善应急保障体系。</w:t>
      </w:r>
    </w:p>
    <w:p>
      <w:pPr>
        <w:snapToGrid w:val="0"/>
        <w:spacing w:line="576" w:lineRule="exact"/>
        <w:ind w:firstLine="640"/>
        <w:outlineLvl w:val="1"/>
        <w:rPr>
          <w:rFonts w:ascii="楷体" w:hAnsi="楷体" w:eastAsia="楷体"/>
          <w:b/>
          <w:sz w:val="32"/>
          <w:szCs w:val="32"/>
        </w:rPr>
      </w:pPr>
      <w:bookmarkStart w:id="11" w:name="_Toc443517699"/>
      <w:r>
        <w:rPr>
          <w:rFonts w:hint="eastAsia" w:ascii="楷体" w:hAnsi="楷体" w:eastAsia="楷体"/>
          <w:b/>
          <w:sz w:val="32"/>
          <w:szCs w:val="32"/>
        </w:rPr>
        <w:t>（三）构建食品药品全过程监管体系</w:t>
      </w:r>
      <w:bookmarkEnd w:id="11"/>
      <w:r>
        <w:rPr>
          <w:rFonts w:hint="eastAsia" w:ascii="楷体" w:hAnsi="楷体" w:eastAsia="楷体"/>
          <w:b/>
          <w:sz w:val="32"/>
          <w:szCs w:val="32"/>
          <w:lang w:eastAsia="zh-CN"/>
        </w:rPr>
        <w:t>。</w:t>
      </w:r>
    </w:p>
    <w:p>
      <w:pPr>
        <w:snapToGrid w:val="0"/>
        <w:spacing w:line="576" w:lineRule="exact"/>
        <w:ind w:firstLine="640"/>
        <w:outlineLvl w:val="1"/>
        <w:rPr>
          <w:rFonts w:ascii="仿宋" w:hAnsi="仿宋" w:eastAsia="仿宋"/>
          <w:b/>
          <w:sz w:val="32"/>
          <w:szCs w:val="32"/>
        </w:rPr>
      </w:pPr>
      <w:r>
        <w:rPr>
          <w:rFonts w:hint="eastAsia" w:ascii="仿宋" w:hAnsi="仿宋" w:eastAsia="仿宋" w:cs="仿宋"/>
          <w:b/>
          <w:sz w:val="32"/>
          <w:szCs w:val="32"/>
        </w:rPr>
        <w:t>1.</w:t>
      </w:r>
      <w:r>
        <w:rPr>
          <w:rFonts w:hint="eastAsia" w:ascii="仿宋" w:hAnsi="仿宋" w:eastAsia="仿宋"/>
          <w:b/>
          <w:sz w:val="32"/>
          <w:szCs w:val="32"/>
        </w:rPr>
        <w:t>加强食品生产环节监管。</w:t>
      </w:r>
      <w:r>
        <w:rPr>
          <w:rFonts w:hint="eastAsia" w:ascii="仿宋" w:hAnsi="仿宋" w:eastAsia="仿宋"/>
          <w:sz w:val="32"/>
          <w:szCs w:val="32"/>
        </w:rPr>
        <w:t>严格食品生产准入，建立食品生产企业电子档案。加强对食品生产企业的日常监管。健全食品生产质量管理体系，实施质量授权人（安全总监）制度。完善食品召回制度，加强问题食品召回和处理过程的监督。支持食品生产企业集约化、集团化生产。</w:t>
      </w:r>
    </w:p>
    <w:p>
      <w:pPr>
        <w:snapToGrid w:val="0"/>
        <w:spacing w:line="576" w:lineRule="exact"/>
        <w:ind w:firstLine="640"/>
        <w:outlineLvl w:val="1"/>
        <w:rPr>
          <w:rFonts w:ascii="仿宋" w:hAnsi="仿宋" w:eastAsia="仿宋"/>
          <w:sz w:val="32"/>
          <w:szCs w:val="32"/>
        </w:rPr>
      </w:pPr>
      <w:r>
        <w:rPr>
          <w:rFonts w:hint="eastAsia" w:ascii="仿宋" w:hAnsi="仿宋" w:eastAsia="仿宋"/>
          <w:b/>
          <w:sz w:val="32"/>
          <w:szCs w:val="32"/>
        </w:rPr>
        <w:t>2.加强食品经营环节监管。</w:t>
      </w:r>
      <w:r>
        <w:rPr>
          <w:rFonts w:hint="eastAsia" w:ascii="仿宋" w:hAnsi="仿宋" w:eastAsia="仿宋"/>
          <w:sz w:val="32"/>
          <w:szCs w:val="32"/>
        </w:rPr>
        <w:t>全面推进和实行食品进货检验、索证索票、购销台账和责任追究制度。建立重点食品定期质量监督抽验、强制性标准专项检查、食品退市制度。实行食品市场巡查网格化动态管理。全面实施餐饮服务单位食品安全监督量化分级管理制度，继续推行“阳光厨房”工程和“明亮厨灶”建设。加大对集体食堂、旅游沿线餐饮、农村宴席的整治和监管，严防食物中毒事件和食源性疾病发生。</w:t>
      </w:r>
    </w:p>
    <w:p>
      <w:pPr>
        <w:snapToGrid w:val="0"/>
        <w:spacing w:line="576" w:lineRule="exact"/>
        <w:ind w:firstLine="640"/>
        <w:outlineLvl w:val="1"/>
        <w:rPr>
          <w:rFonts w:ascii="仿宋" w:hAnsi="仿宋" w:eastAsia="仿宋"/>
          <w:sz w:val="32"/>
          <w:szCs w:val="32"/>
        </w:rPr>
      </w:pPr>
      <w:r>
        <w:rPr>
          <w:rFonts w:hint="eastAsia" w:ascii="仿宋" w:hAnsi="仿宋" w:eastAsia="仿宋"/>
          <w:b/>
          <w:sz w:val="32"/>
          <w:szCs w:val="32"/>
        </w:rPr>
        <w:t>3.加强食品小作坊和食品摊贩监管。</w:t>
      </w:r>
      <w:r>
        <w:rPr>
          <w:rFonts w:hint="eastAsia" w:ascii="仿宋" w:hAnsi="仿宋" w:eastAsia="仿宋"/>
          <w:sz w:val="32"/>
          <w:szCs w:val="32"/>
        </w:rPr>
        <w:t>依照《广东省食品生产加工小作坊和食品摊贩管理条例》，坚持“方便群众、合理布局”的原则和“总量控制、疏堵结合、稳步推进、属地管理、有序监管”的要求，引导食品小作坊和食品摊贩进行集中加工、经营。严格实施登记管理，逐步建立健全小作坊禁止目录，并向社会公开相关信息，逐步引导食品小作坊和食品摊贩向规范化、集约化发展。加强对食品小作坊和食品摊贩的巡查和抽查，有效控制食品安全风险。</w:t>
      </w:r>
    </w:p>
    <w:p>
      <w:pPr>
        <w:snapToGrid w:val="0"/>
        <w:spacing w:line="576" w:lineRule="exact"/>
        <w:ind w:firstLine="640"/>
        <w:outlineLvl w:val="1"/>
        <w:rPr>
          <w:rFonts w:ascii="仿宋" w:hAnsi="仿宋" w:eastAsia="仿宋"/>
          <w:sz w:val="32"/>
          <w:szCs w:val="32"/>
        </w:rPr>
      </w:pPr>
      <w:r>
        <w:rPr>
          <w:rFonts w:hint="eastAsia" w:ascii="仿宋" w:hAnsi="仿宋" w:eastAsia="仿宋"/>
          <w:b/>
          <w:sz w:val="32"/>
          <w:szCs w:val="32"/>
        </w:rPr>
        <w:t>4.加强保健食品安全监管。</w:t>
      </w:r>
      <w:r>
        <w:rPr>
          <w:rFonts w:hint="eastAsia" w:ascii="仿宋" w:hAnsi="仿宋" w:eastAsia="仿宋"/>
          <w:sz w:val="32"/>
          <w:szCs w:val="32"/>
        </w:rPr>
        <w:t>深入开展保健食品经营情况调查，探索保健食品安全监管新模式和新方法。依托食品安全检测与评价体系，开展保健食品监测与评价。加大保健食品强制性标准实施力度，探索保健食品安全诚信分类管理。规范保健食品市场秩序，建立和规范保健食品召回监管制度。</w:t>
      </w:r>
    </w:p>
    <w:p>
      <w:pPr>
        <w:snapToGrid w:val="0"/>
        <w:spacing w:line="576" w:lineRule="exact"/>
        <w:ind w:firstLine="640"/>
        <w:outlineLvl w:val="1"/>
        <w:rPr>
          <w:rFonts w:ascii="仿宋" w:hAnsi="仿宋" w:eastAsia="仿宋"/>
          <w:b/>
          <w:sz w:val="32"/>
          <w:szCs w:val="32"/>
        </w:rPr>
      </w:pPr>
      <w:r>
        <w:rPr>
          <w:rFonts w:hint="eastAsia" w:ascii="仿宋" w:hAnsi="仿宋" w:eastAsia="仿宋"/>
          <w:b/>
          <w:sz w:val="32"/>
          <w:szCs w:val="32"/>
        </w:rPr>
        <w:t>5.加强药品经营环节监管。</w:t>
      </w:r>
      <w:r>
        <w:rPr>
          <w:rFonts w:hint="eastAsia" w:ascii="仿宋" w:hAnsi="仿宋" w:eastAsia="仿宋"/>
          <w:sz w:val="32"/>
          <w:szCs w:val="32"/>
        </w:rPr>
        <w:t>落实药品质量定期抽验、监督检查的要求。开展全品种电子监管工作，建立基本药物配送企业档案。进一步实施处方药与非处方药分类管理制度。探索建立药品经营许可分类、分级管理模式和药品经营退出机制，有效遏制医药企业低水平重复建设。鼓励发展现代物流和连锁经营，支持大型药品物流企业加快发展，促进药品流通企业向规模化、集约化、规范化发展，不断提高药品经营集中度。</w:t>
      </w:r>
    </w:p>
    <w:p>
      <w:pPr>
        <w:snapToGrid w:val="0"/>
        <w:spacing w:line="576" w:lineRule="exact"/>
        <w:ind w:firstLine="640"/>
        <w:outlineLvl w:val="1"/>
        <w:rPr>
          <w:rFonts w:ascii="仿宋" w:hAnsi="仿宋" w:eastAsia="仿宋"/>
          <w:sz w:val="32"/>
          <w:szCs w:val="32"/>
        </w:rPr>
      </w:pPr>
      <w:r>
        <w:rPr>
          <w:rFonts w:hint="eastAsia" w:ascii="仿宋" w:hAnsi="仿宋" w:eastAsia="仿宋"/>
          <w:b/>
          <w:sz w:val="32"/>
          <w:szCs w:val="32"/>
        </w:rPr>
        <w:t>6.加强药品使用环节监管。</w:t>
      </w:r>
      <w:r>
        <w:rPr>
          <w:rFonts w:hint="eastAsia" w:ascii="仿宋" w:hAnsi="仿宋" w:eastAsia="仿宋"/>
          <w:sz w:val="32"/>
          <w:szCs w:val="32"/>
        </w:rPr>
        <w:t>以临床用药为重点，加强科学合理用药宣传，引导合理用药。加强对医疗机构购进、存储、使用药品和配制制剂的监管。探索建立消费者过期药品回收制度。健全药品不良反应监测网络，加大对药品不良反应监测的监督管理力度，规范药品不良反应报告和监测制度，提高药品不良反应监测水平。</w:t>
      </w:r>
    </w:p>
    <w:p>
      <w:pPr>
        <w:snapToGrid w:val="0"/>
        <w:spacing w:line="576" w:lineRule="exact"/>
        <w:ind w:firstLine="640"/>
        <w:outlineLvl w:val="1"/>
        <w:rPr>
          <w:rFonts w:ascii="仿宋" w:hAnsi="仿宋" w:eastAsia="仿宋"/>
          <w:sz w:val="32"/>
          <w:szCs w:val="32"/>
        </w:rPr>
      </w:pPr>
      <w:r>
        <w:rPr>
          <w:rFonts w:hint="eastAsia" w:ascii="仿宋" w:hAnsi="仿宋" w:eastAsia="仿宋"/>
          <w:b/>
          <w:sz w:val="32"/>
          <w:szCs w:val="32"/>
        </w:rPr>
        <w:t>7.加强化妆品安全监管。</w:t>
      </w:r>
      <w:r>
        <w:rPr>
          <w:rFonts w:hint="eastAsia" w:ascii="仿宋" w:hAnsi="仿宋" w:eastAsia="仿宋"/>
          <w:sz w:val="32"/>
          <w:szCs w:val="32"/>
        </w:rPr>
        <w:t>加强化妆品经营企业的日常监管、专项检查和抽检等情况和定期评定相应等级情况，确定监督检查的方式及频次，全面提高化妆品生产企业的监管效率。加强化妆品流通市场监管，督促企业完善并落实进货查验、索证索票等制度，保护消费者使用化妆品的安全。</w:t>
      </w:r>
    </w:p>
    <w:p>
      <w:pPr>
        <w:snapToGrid w:val="0"/>
        <w:spacing w:line="576" w:lineRule="exact"/>
        <w:ind w:firstLine="643" w:firstLineChars="200"/>
        <w:outlineLvl w:val="1"/>
        <w:rPr>
          <w:rFonts w:ascii="仿宋" w:hAnsi="仿宋" w:eastAsia="仿宋"/>
          <w:sz w:val="32"/>
          <w:szCs w:val="32"/>
        </w:rPr>
      </w:pPr>
      <w:r>
        <w:rPr>
          <w:rFonts w:hint="eastAsia" w:ascii="仿宋" w:hAnsi="仿宋" w:eastAsia="仿宋"/>
          <w:b/>
          <w:sz w:val="32"/>
          <w:szCs w:val="32"/>
        </w:rPr>
        <w:t>8.加强医疗器械使用环节监管。</w:t>
      </w:r>
      <w:r>
        <w:rPr>
          <w:rFonts w:hint="eastAsia" w:ascii="仿宋" w:hAnsi="仿宋" w:eastAsia="仿宋"/>
          <w:sz w:val="32"/>
          <w:szCs w:val="32"/>
        </w:rPr>
        <w:t>以医院为重点单位，以高风险医疗器械为重点产品，以采购验收和植入器械的使用记录为重要依据，加大医院医疗器械采购验收的监管力度，加大在用医疗器械的检测监管力度，推进医疗器械使用管理规范化，引导医疗机构对医疗器械采购使用过程实行信息化管理。实施医疗器械分类分级监管，推行医疗器械安全网格化管理。</w:t>
      </w:r>
    </w:p>
    <w:p>
      <w:pPr>
        <w:snapToGrid w:val="0"/>
        <w:spacing w:line="576" w:lineRule="exact"/>
        <w:ind w:firstLine="643" w:firstLineChars="200"/>
        <w:outlineLvl w:val="1"/>
        <w:rPr>
          <w:rFonts w:ascii="楷体" w:hAnsi="楷体" w:eastAsia="楷体"/>
          <w:b/>
          <w:sz w:val="32"/>
          <w:szCs w:val="32"/>
        </w:rPr>
      </w:pPr>
      <w:bookmarkStart w:id="12" w:name="_Toc443517701"/>
      <w:r>
        <w:rPr>
          <w:rFonts w:hint="eastAsia" w:ascii="楷体" w:hAnsi="楷体" w:eastAsia="楷体"/>
          <w:b/>
          <w:sz w:val="32"/>
          <w:szCs w:val="32"/>
        </w:rPr>
        <w:t>（四）构建科学权威的技术支撑体系</w:t>
      </w:r>
      <w:bookmarkEnd w:id="12"/>
      <w:r>
        <w:rPr>
          <w:rFonts w:hint="eastAsia" w:ascii="楷体" w:hAnsi="楷体" w:eastAsia="楷体"/>
          <w:b/>
          <w:sz w:val="32"/>
          <w:szCs w:val="32"/>
          <w:lang w:eastAsia="zh-CN"/>
        </w:rPr>
        <w:t>。</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强化食品药品安全监管执法装备配置，重点增加现场快速检测和调查取证等设备的配备，解决食品、化妆品检验必需的场地和设施，保障日常监管、查办案件和监督抽验所需经费，不断提升食品药品检验检测能力。</w:t>
      </w:r>
    </w:p>
    <w:p>
      <w:pPr>
        <w:spacing w:line="576" w:lineRule="exact"/>
        <w:ind w:firstLine="643" w:firstLineChars="200"/>
        <w:rPr>
          <w:rFonts w:ascii="仿宋" w:hAnsi="仿宋" w:eastAsia="仿宋"/>
          <w:sz w:val="32"/>
          <w:szCs w:val="32"/>
        </w:rPr>
      </w:pPr>
      <w:r>
        <w:rPr>
          <w:rFonts w:hint="eastAsia" w:ascii="仿宋" w:hAnsi="仿宋" w:eastAsia="仿宋"/>
          <w:b/>
          <w:sz w:val="32"/>
          <w:szCs w:val="32"/>
        </w:rPr>
        <w:t>1.强化执法装备和基础设施建设。</w:t>
      </w:r>
      <w:r>
        <w:rPr>
          <w:rFonts w:hint="eastAsia" w:ascii="仿宋" w:hAnsi="仿宋" w:eastAsia="仿宋"/>
          <w:sz w:val="32"/>
          <w:szCs w:val="32"/>
        </w:rPr>
        <w:t>加强食品药品监管行政执法装备和技术检验设备的配置，充实食品药品监管机构基本装备、取证工具、快检装备、应急专用设备。加强基础设施建设，配备必要的办公、执法及快筛快检设施设备，以满足日常监管需要。</w:t>
      </w:r>
      <w:r>
        <w:rPr>
          <w:rFonts w:ascii="仿宋" w:hAnsi="仿宋" w:eastAsia="仿宋"/>
          <w:sz w:val="32"/>
          <w:szCs w:val="32"/>
        </w:rPr>
        <w:t xml:space="preserve">  </w:t>
      </w:r>
    </w:p>
    <w:p>
      <w:pPr>
        <w:spacing w:line="576" w:lineRule="exact"/>
        <w:ind w:firstLine="643" w:firstLineChars="200"/>
        <w:rPr>
          <w:rFonts w:ascii="仿宋" w:hAnsi="仿宋" w:eastAsia="仿宋"/>
          <w:sz w:val="32"/>
          <w:szCs w:val="32"/>
        </w:rPr>
      </w:pPr>
      <w:r>
        <w:rPr>
          <w:rFonts w:hint="eastAsia" w:ascii="仿宋" w:hAnsi="仿宋" w:eastAsia="仿宋"/>
          <w:b/>
          <w:sz w:val="32"/>
          <w:szCs w:val="32"/>
        </w:rPr>
        <w:t>2.构建食品药品快筛快检立体检测体系。</w:t>
      </w:r>
      <w:r>
        <w:rPr>
          <w:rFonts w:hint="eastAsia" w:ascii="仿宋" w:hAnsi="仿宋" w:eastAsia="仿宋"/>
          <w:sz w:val="32"/>
          <w:szCs w:val="32"/>
        </w:rPr>
        <w:t>在农副产品批发市场建立快筛快检立体检测体系。以快检室、快检箱为平台，充分利用快检技术，严密监控食品药品以及食用农产品的质量，排除安全隐患。</w:t>
      </w:r>
    </w:p>
    <w:p>
      <w:pPr>
        <w:snapToGrid w:val="0"/>
        <w:spacing w:line="576" w:lineRule="exact"/>
        <w:ind w:firstLine="640"/>
        <w:outlineLvl w:val="1"/>
        <w:rPr>
          <w:rFonts w:ascii="楷体" w:hAnsi="楷体" w:eastAsia="楷体"/>
          <w:b/>
          <w:sz w:val="32"/>
          <w:szCs w:val="32"/>
        </w:rPr>
      </w:pPr>
      <w:bookmarkStart w:id="13" w:name="_Toc443517703"/>
      <w:r>
        <w:rPr>
          <w:rFonts w:hint="eastAsia" w:ascii="楷体" w:hAnsi="楷体" w:eastAsia="楷体"/>
          <w:b/>
          <w:sz w:val="32"/>
          <w:szCs w:val="32"/>
        </w:rPr>
        <w:t>（五）</w:t>
      </w:r>
      <w:bookmarkEnd w:id="13"/>
      <w:r>
        <w:rPr>
          <w:rFonts w:hint="eastAsia" w:ascii="楷体" w:hAnsi="楷体" w:eastAsia="楷体"/>
          <w:b/>
          <w:sz w:val="32"/>
          <w:szCs w:val="32"/>
        </w:rPr>
        <w:t>构建切实有效的社会共治体系</w:t>
      </w:r>
      <w:r>
        <w:rPr>
          <w:rFonts w:hint="eastAsia" w:ascii="楷体" w:hAnsi="楷体" w:eastAsia="楷体"/>
          <w:b/>
          <w:sz w:val="32"/>
          <w:szCs w:val="32"/>
          <w:lang w:eastAsia="zh-CN"/>
        </w:rPr>
        <w:t>。</w:t>
      </w:r>
    </w:p>
    <w:p>
      <w:pPr>
        <w:snapToGrid w:val="0"/>
        <w:spacing w:line="576" w:lineRule="exact"/>
        <w:ind w:firstLine="640" w:firstLineChars="200"/>
        <w:rPr>
          <w:rFonts w:ascii="仿宋" w:hAnsi="仿宋" w:eastAsia="仿宋"/>
          <w:kern w:val="0"/>
          <w:sz w:val="32"/>
          <w:szCs w:val="32"/>
        </w:rPr>
      </w:pPr>
      <w:r>
        <w:rPr>
          <w:rFonts w:hint="eastAsia" w:ascii="仿宋" w:hAnsi="仿宋" w:eastAsia="仿宋"/>
          <w:kern w:val="0"/>
          <w:sz w:val="32"/>
          <w:szCs w:val="32"/>
        </w:rPr>
        <w:t>充分调动食品药品安全各利益相关方的积极性和创造性，激发社会各界参与食品药品安全治理的热情，构建“政府指导、企业诚信、行业自律、社会监督”的食品药品安全共治格局。</w:t>
      </w:r>
    </w:p>
    <w:p>
      <w:pPr>
        <w:snapToGrid w:val="0"/>
        <w:spacing w:line="576" w:lineRule="exact"/>
        <w:ind w:firstLine="643" w:firstLineChars="200"/>
        <w:rPr>
          <w:rFonts w:ascii="仿宋" w:hAnsi="仿宋" w:eastAsia="仿宋"/>
          <w:kern w:val="0"/>
          <w:sz w:val="32"/>
          <w:szCs w:val="32"/>
        </w:rPr>
      </w:pPr>
      <w:r>
        <w:rPr>
          <w:rFonts w:hint="eastAsia" w:ascii="仿宋" w:hAnsi="仿宋" w:eastAsia="仿宋"/>
          <w:b/>
          <w:sz w:val="32"/>
          <w:szCs w:val="32"/>
        </w:rPr>
        <w:t>1.加强政府信息公开力度。</w:t>
      </w:r>
      <w:r>
        <w:rPr>
          <w:rFonts w:hint="eastAsia" w:ascii="仿宋" w:hAnsi="仿宋" w:eastAsia="仿宋"/>
          <w:sz w:val="32"/>
          <w:szCs w:val="32"/>
        </w:rPr>
        <w:t>以“公开为原则，不公开为例外”，</w:t>
      </w:r>
      <w:r>
        <w:rPr>
          <w:rFonts w:hint="eastAsia" w:ascii="仿宋" w:hAnsi="仿宋" w:eastAsia="仿宋"/>
          <w:kern w:val="0"/>
          <w:sz w:val="32"/>
          <w:szCs w:val="32"/>
        </w:rPr>
        <w:t>围绕“决策公开、管理公开、执行公开、服务公开、结果公开”的目标，积极主动公开相应的食品药品安全信息，切实提高行政监管的透明度。深化行政处罚、典型案例、信用信息、安全事件等监管类信息公开力度，推进行政权力公开透明运行，加强政务网站建设，有效运用新闻发布的各类平台，丰富信息公开的形式。</w:t>
      </w:r>
    </w:p>
    <w:p>
      <w:pPr>
        <w:snapToGrid w:val="0"/>
        <w:spacing w:line="576" w:lineRule="exact"/>
        <w:ind w:firstLine="643" w:firstLineChars="200"/>
        <w:rPr>
          <w:rFonts w:ascii="仿宋" w:hAnsi="仿宋" w:eastAsia="仿宋"/>
          <w:kern w:val="0"/>
          <w:sz w:val="32"/>
          <w:szCs w:val="32"/>
        </w:rPr>
      </w:pPr>
      <w:r>
        <w:rPr>
          <w:rFonts w:hint="eastAsia" w:ascii="仿宋" w:hAnsi="仿宋" w:eastAsia="仿宋"/>
          <w:b/>
          <w:sz w:val="32"/>
          <w:szCs w:val="32"/>
        </w:rPr>
        <w:t>2.加强诚信体系建设。</w:t>
      </w:r>
      <w:r>
        <w:rPr>
          <w:rFonts w:hint="eastAsia" w:ascii="仿宋" w:hAnsi="仿宋" w:eastAsia="仿宋"/>
          <w:kern w:val="0"/>
          <w:sz w:val="32"/>
          <w:szCs w:val="32"/>
        </w:rPr>
        <w:t>全面推进食品药品生产经营者“一户一档”信用档案管理，着力健全和实施食品药品企业信用分级分类监管与公示制度。全面推进食品药品领域信用信息共享，继续实施严重违法企业与责任人“黑名单”、“曝光台”制度，加大对违法违规企业和产品的公示力度，着力构建“守法企业一路绿灯，违法企业寸步难行”的体制机制。</w:t>
      </w:r>
    </w:p>
    <w:p>
      <w:pPr>
        <w:spacing w:line="576" w:lineRule="exact"/>
        <w:ind w:firstLine="643" w:firstLineChars="200"/>
        <w:outlineLvl w:val="2"/>
        <w:rPr>
          <w:rFonts w:ascii="仿宋" w:hAnsi="仿宋" w:eastAsia="仿宋"/>
          <w:kern w:val="0"/>
          <w:sz w:val="32"/>
          <w:szCs w:val="32"/>
        </w:rPr>
      </w:pPr>
      <w:r>
        <w:rPr>
          <w:rFonts w:hint="eastAsia" w:ascii="仿宋" w:hAnsi="仿宋" w:eastAsia="仿宋"/>
          <w:b/>
          <w:sz w:val="32"/>
          <w:szCs w:val="32"/>
        </w:rPr>
        <w:t>3.畅通投诉举报渠道。</w:t>
      </w:r>
      <w:r>
        <w:rPr>
          <w:rFonts w:hint="eastAsia" w:ascii="仿宋" w:hAnsi="仿宋" w:eastAsia="仿宋"/>
          <w:kern w:val="0"/>
          <w:sz w:val="32"/>
          <w:szCs w:val="32"/>
        </w:rPr>
        <w:t>不断拓宽投诉举报渠道，创造有利于社会各方参与的食品药品安全监管平台，托12331等系统，理顺投诉举报办理体系，横向紧密联系政府部门相关热线，完善上下协调、左右畅通的联动机制，促进食品药品投诉举报体系高效运行。进一步落实举报奖励制度和举报保密制度。</w:t>
      </w:r>
    </w:p>
    <w:p>
      <w:pPr>
        <w:snapToGrid w:val="0"/>
        <w:spacing w:line="576" w:lineRule="exact"/>
        <w:ind w:firstLine="643" w:firstLineChars="200"/>
        <w:rPr>
          <w:rFonts w:ascii="仿宋" w:hAnsi="仿宋" w:eastAsia="仿宋"/>
          <w:kern w:val="0"/>
          <w:sz w:val="32"/>
          <w:szCs w:val="32"/>
        </w:rPr>
      </w:pPr>
      <w:r>
        <w:rPr>
          <w:rFonts w:hint="eastAsia" w:ascii="仿宋" w:hAnsi="仿宋" w:eastAsia="仿宋"/>
          <w:b/>
          <w:sz w:val="32"/>
          <w:szCs w:val="32"/>
        </w:rPr>
        <w:t>4.强化社会舆论引导。</w:t>
      </w:r>
      <w:r>
        <w:rPr>
          <w:rFonts w:hint="eastAsia" w:ascii="仿宋" w:hAnsi="仿宋" w:eastAsia="仿宋"/>
          <w:kern w:val="0"/>
          <w:sz w:val="32"/>
          <w:szCs w:val="32"/>
        </w:rPr>
        <w:t>建立与媒体沟通合作机制，推进新闻宣传工作的制度化、规范化、常态化。加强统筹做好新闻发布、舆论引导、宣传平台建设，严把新闻宣传的主动权和主渠道。运用新媒体及时回应公众关切的食品药品热点、难点问题，合理引导公众预期。及时发布突发事件权威信息，说明事实真相，把握主动权。</w:t>
      </w:r>
    </w:p>
    <w:p>
      <w:pPr>
        <w:snapToGrid w:val="0"/>
        <w:spacing w:line="576" w:lineRule="exact"/>
        <w:ind w:firstLine="640" w:firstLineChars="200"/>
        <w:outlineLvl w:val="0"/>
        <w:rPr>
          <w:rFonts w:eastAsia="黑体"/>
          <w:sz w:val="32"/>
          <w:szCs w:val="32"/>
        </w:rPr>
      </w:pPr>
      <w:bookmarkStart w:id="14" w:name="_Toc443517704"/>
      <w:bookmarkStart w:id="15" w:name="_Toc437609198"/>
      <w:bookmarkStart w:id="16" w:name="_Toc434223893"/>
      <w:r>
        <w:rPr>
          <w:rFonts w:hint="eastAsia" w:eastAsia="黑体"/>
          <w:sz w:val="32"/>
          <w:szCs w:val="32"/>
        </w:rPr>
        <w:t>四、</w:t>
      </w:r>
      <w:bookmarkEnd w:id="14"/>
      <w:bookmarkEnd w:id="15"/>
      <w:r>
        <w:rPr>
          <w:rFonts w:hint="eastAsia" w:eastAsia="黑体"/>
          <w:sz w:val="32"/>
          <w:szCs w:val="32"/>
          <w:lang w:eastAsia="zh-CN"/>
        </w:rPr>
        <w:t>基础设施配备与能力建设</w:t>
      </w:r>
    </w:p>
    <w:p>
      <w:pPr>
        <w:snapToGrid w:val="0"/>
        <w:spacing w:line="576" w:lineRule="exact"/>
        <w:ind w:firstLine="643" w:firstLineChars="200"/>
        <w:outlineLvl w:val="1"/>
        <w:rPr>
          <w:rFonts w:ascii="楷体" w:hAnsi="楷体" w:eastAsia="楷体"/>
          <w:b/>
          <w:sz w:val="32"/>
          <w:szCs w:val="32"/>
        </w:rPr>
      </w:pPr>
      <w:bookmarkStart w:id="17" w:name="_Toc443517707"/>
      <w:bookmarkStart w:id="18" w:name="_Toc434223885"/>
      <w:bookmarkStart w:id="19" w:name="_Toc437609200"/>
      <w:r>
        <w:rPr>
          <w:rFonts w:hint="eastAsia" w:ascii="楷体" w:hAnsi="楷体" w:eastAsia="楷体"/>
          <w:b/>
          <w:sz w:val="32"/>
          <w:szCs w:val="32"/>
        </w:rPr>
        <w:t>（</w:t>
      </w:r>
      <w:bookmarkEnd w:id="17"/>
      <w:bookmarkStart w:id="20" w:name="_Toc443517708"/>
      <w:r>
        <w:rPr>
          <w:rFonts w:hint="eastAsia" w:ascii="楷体" w:hAnsi="楷体" w:eastAsia="楷体"/>
          <w:b/>
          <w:sz w:val="32"/>
          <w:szCs w:val="32"/>
        </w:rPr>
        <w:t>一）技术支撑能力建设工程</w:t>
      </w:r>
      <w:bookmarkEnd w:id="18"/>
      <w:bookmarkEnd w:id="19"/>
      <w:bookmarkEnd w:id="20"/>
      <w:r>
        <w:rPr>
          <w:rFonts w:hint="eastAsia" w:ascii="楷体" w:hAnsi="楷体" w:eastAsia="楷体"/>
          <w:b/>
          <w:sz w:val="32"/>
          <w:szCs w:val="32"/>
          <w:lang w:eastAsia="zh-CN"/>
        </w:rPr>
        <w:t>。</w:t>
      </w:r>
    </w:p>
    <w:p>
      <w:pPr>
        <w:spacing w:line="360" w:lineRule="auto"/>
        <w:ind w:firstLine="640" w:firstLineChars="200"/>
        <w:rPr>
          <w:rFonts w:ascii="仿宋" w:hAnsi="仿宋" w:eastAsia="仿宋"/>
          <w:sz w:val="32"/>
          <w:szCs w:val="32"/>
        </w:rPr>
      </w:pPr>
      <w:bookmarkStart w:id="21" w:name="_Toc434223886"/>
      <w:r>
        <w:rPr>
          <w:rFonts w:hint="eastAsia" w:ascii="仿宋" w:hAnsi="仿宋" w:eastAsia="仿宋"/>
          <w:sz w:val="32"/>
          <w:szCs w:val="32"/>
        </w:rPr>
        <w:t>建立辖区食用农产品快速检测检验快室为依托的技术支撑体系，配备快检等设施设备。加强食用农产品检测能力建设，全面提升我区食用农产品质量安全检测能力。鼓励有资质的社会第三方检测机构为食用农产品提供检验监测技术支持。</w:t>
      </w:r>
    </w:p>
    <w:bookmarkEnd w:id="21"/>
    <w:p>
      <w:pPr>
        <w:snapToGrid w:val="0"/>
        <w:spacing w:line="576" w:lineRule="exact"/>
        <w:ind w:firstLine="643" w:firstLineChars="200"/>
        <w:outlineLvl w:val="1"/>
        <w:rPr>
          <w:rFonts w:ascii="楷体" w:hAnsi="楷体" w:eastAsia="楷体"/>
          <w:b/>
          <w:sz w:val="32"/>
          <w:szCs w:val="32"/>
        </w:rPr>
      </w:pPr>
      <w:bookmarkStart w:id="22" w:name="_Toc443517709"/>
      <w:bookmarkStart w:id="23" w:name="_Toc437609202"/>
      <w:bookmarkStart w:id="24" w:name="_Toc434223888"/>
      <w:r>
        <w:rPr>
          <w:rFonts w:hint="eastAsia" w:ascii="楷体" w:hAnsi="楷体" w:eastAsia="楷体"/>
          <w:b/>
          <w:sz w:val="32"/>
          <w:szCs w:val="32"/>
        </w:rPr>
        <w:t>（二）人才队伍建设工程</w:t>
      </w:r>
      <w:bookmarkEnd w:id="22"/>
      <w:r>
        <w:rPr>
          <w:rFonts w:hint="eastAsia" w:ascii="楷体" w:hAnsi="楷体" w:eastAsia="楷体"/>
          <w:b/>
          <w:sz w:val="32"/>
          <w:szCs w:val="32"/>
          <w:lang w:eastAsia="zh-CN"/>
        </w:rPr>
        <w:t>。</w:t>
      </w:r>
    </w:p>
    <w:p>
      <w:pPr>
        <w:snapToGrid w:val="0"/>
        <w:spacing w:line="576" w:lineRule="exact"/>
        <w:ind w:firstLine="640" w:firstLineChars="200"/>
        <w:rPr>
          <w:rFonts w:ascii="仿宋" w:hAnsi="仿宋" w:eastAsia="仿宋"/>
          <w:sz w:val="32"/>
          <w:szCs w:val="32"/>
        </w:rPr>
      </w:pPr>
      <w:r>
        <w:rPr>
          <w:rFonts w:hint="eastAsia" w:ascii="仿宋" w:hAnsi="仿宋" w:eastAsia="仿宋"/>
          <w:kern w:val="0"/>
          <w:sz w:val="32"/>
          <w:szCs w:val="32"/>
        </w:rPr>
        <w:t>积极改革和完善食品药品专业人才聚集、使用、培养、评价、激励等制度。</w:t>
      </w:r>
      <w:r>
        <w:rPr>
          <w:rFonts w:hint="eastAsia" w:ascii="仿宋" w:hAnsi="仿宋" w:eastAsia="仿宋"/>
          <w:sz w:val="32"/>
          <w:szCs w:val="32"/>
        </w:rPr>
        <w:t>以法律法规、专业知识、执法技能、舆情应对、应急处置等为教育培训重点，有针对性的组织监管人员参加各级各类教育培训，力争</w:t>
      </w:r>
      <w:r>
        <w:rPr>
          <w:rFonts w:hint="eastAsia" w:ascii="仿宋" w:hAnsi="仿宋" w:eastAsia="仿宋"/>
          <w:sz w:val="32"/>
          <w:szCs w:val="32"/>
          <w:shd w:val="clear" w:color="auto" w:fill="FFFFFF"/>
        </w:rPr>
        <w:t>食品药品安全监管人员每人每年参加教育培训时间不少于50学时。同时</w:t>
      </w:r>
      <w:r>
        <w:rPr>
          <w:rFonts w:hint="eastAsia" w:ascii="仿宋" w:hAnsi="仿宋" w:eastAsia="仿宋"/>
          <w:sz w:val="32"/>
          <w:szCs w:val="32"/>
        </w:rPr>
        <w:t>加强高层次人才和专门急需人才的培养，优化食品药品安全监管人员知识结构，努力建设一支适应食品安全监管新要求的高素质的执法队伍，不断提高对食品药品监管水平。</w:t>
      </w:r>
    </w:p>
    <w:p>
      <w:pPr>
        <w:snapToGrid w:val="0"/>
        <w:spacing w:line="576" w:lineRule="exact"/>
        <w:ind w:firstLine="643" w:firstLineChars="200"/>
        <w:rPr>
          <w:rFonts w:ascii="楷体" w:hAnsi="楷体" w:eastAsia="楷体"/>
          <w:b/>
          <w:sz w:val="32"/>
          <w:szCs w:val="32"/>
        </w:rPr>
      </w:pPr>
      <w:r>
        <w:rPr>
          <w:rFonts w:hint="eastAsia" w:ascii="楷体" w:hAnsi="楷体" w:eastAsia="楷体"/>
          <w:b/>
          <w:sz w:val="32"/>
          <w:szCs w:val="32"/>
        </w:rPr>
        <w:t>（三）执法装备达标工程</w:t>
      </w:r>
      <w:r>
        <w:rPr>
          <w:rFonts w:hint="eastAsia" w:ascii="楷体" w:hAnsi="楷体" w:eastAsia="楷体"/>
          <w:b/>
          <w:sz w:val="32"/>
          <w:szCs w:val="32"/>
          <w:lang w:eastAsia="zh-CN"/>
        </w:rPr>
        <w:t>。</w:t>
      </w:r>
    </w:p>
    <w:p>
      <w:pPr>
        <w:snapToGrid w:val="0"/>
        <w:spacing w:line="576" w:lineRule="exact"/>
        <w:ind w:firstLine="640" w:firstLineChars="200"/>
        <w:rPr>
          <w:rFonts w:ascii="仿宋" w:hAnsi="仿宋" w:eastAsia="仿宋"/>
          <w:kern w:val="0"/>
          <w:sz w:val="32"/>
          <w:szCs w:val="32"/>
        </w:rPr>
      </w:pPr>
      <w:r>
        <w:rPr>
          <w:rFonts w:hint="eastAsia" w:ascii="仿宋" w:hAnsi="仿宋" w:eastAsia="仿宋"/>
          <w:sz w:val="32"/>
          <w:szCs w:val="32"/>
        </w:rPr>
        <w:t>按照《国家总局关于印发全国食品药品监督管理机构执法基本装备配备指导标准的通知》（食药监财〔2014〕204号）要求，结合辖区实际，逐步实现食品药品监管基本装备、取证工具、快检装备、应急专用配备的标准化。到“十三五”期末，区食品药品安全监管执法基本装备配备达标。</w:t>
      </w:r>
    </w:p>
    <w:p>
      <w:pPr>
        <w:snapToGrid w:val="0"/>
        <w:spacing w:line="576" w:lineRule="exact"/>
        <w:ind w:firstLine="643" w:firstLineChars="200"/>
        <w:outlineLvl w:val="1"/>
        <w:rPr>
          <w:rFonts w:ascii="楷体" w:hAnsi="楷体" w:eastAsia="楷体"/>
          <w:b/>
          <w:sz w:val="32"/>
          <w:szCs w:val="32"/>
        </w:rPr>
      </w:pPr>
      <w:bookmarkStart w:id="25" w:name="_Toc443517710"/>
      <w:r>
        <w:rPr>
          <w:rFonts w:hint="eastAsia" w:ascii="楷体" w:hAnsi="楷体" w:eastAsia="楷体"/>
          <w:b/>
          <w:sz w:val="32"/>
          <w:szCs w:val="32"/>
        </w:rPr>
        <w:t>（四）社会共治工程</w:t>
      </w:r>
      <w:bookmarkEnd w:id="23"/>
      <w:bookmarkEnd w:id="25"/>
      <w:r>
        <w:rPr>
          <w:rFonts w:hint="eastAsia" w:ascii="楷体" w:hAnsi="楷体" w:eastAsia="楷体"/>
          <w:b/>
          <w:sz w:val="32"/>
          <w:szCs w:val="32"/>
          <w:lang w:eastAsia="zh-CN"/>
        </w:rPr>
        <w:t>。</w:t>
      </w:r>
    </w:p>
    <w:p>
      <w:pPr>
        <w:spacing w:line="576" w:lineRule="exact"/>
        <w:ind w:firstLine="643" w:firstLineChars="200"/>
        <w:rPr>
          <w:rFonts w:ascii="仿宋" w:hAnsi="仿宋" w:eastAsia="仿宋" w:cs="宋体"/>
          <w:kern w:val="0"/>
          <w:sz w:val="32"/>
          <w:szCs w:val="32"/>
        </w:rPr>
      </w:pPr>
      <w:r>
        <w:rPr>
          <w:rFonts w:hint="eastAsia" w:ascii="仿宋" w:hAnsi="仿宋" w:eastAsia="仿宋" w:cs="宋体"/>
          <w:b/>
          <w:kern w:val="0"/>
          <w:sz w:val="32"/>
          <w:szCs w:val="32"/>
        </w:rPr>
        <w:t>一是</w:t>
      </w:r>
      <w:r>
        <w:rPr>
          <w:rFonts w:hint="eastAsia" w:ascii="仿宋" w:hAnsi="仿宋" w:eastAsia="仿宋" w:cs="宋体"/>
          <w:kern w:val="0"/>
          <w:sz w:val="32"/>
          <w:szCs w:val="32"/>
        </w:rPr>
        <w:t>以全国“食品安全宣传周”、</w:t>
      </w:r>
      <w:r>
        <w:rPr>
          <w:rFonts w:hint="eastAsia" w:ascii="仿宋" w:hAnsi="仿宋" w:eastAsia="仿宋" w:cs="仿宋"/>
          <w:bCs/>
          <w:color w:val="000000"/>
          <w:sz w:val="32"/>
          <w:szCs w:val="32"/>
        </w:rPr>
        <w:t>“315国际消费者权益日”</w:t>
      </w:r>
      <w:r>
        <w:rPr>
          <w:rFonts w:hint="eastAsia" w:ascii="仿宋" w:hAnsi="仿宋" w:eastAsia="仿宋" w:cs="宋体"/>
          <w:kern w:val="0"/>
          <w:sz w:val="32"/>
          <w:szCs w:val="32"/>
        </w:rPr>
        <w:t>等活动为契机，</w:t>
      </w:r>
      <w:r>
        <w:rPr>
          <w:rFonts w:hint="eastAsia" w:ascii="仿宋" w:hAnsi="仿宋" w:eastAsia="仿宋"/>
          <w:sz w:val="32"/>
          <w:szCs w:val="32"/>
        </w:rPr>
        <w:t>围绕人民群众生活关系密切、社会普遍关注的食品药品安全问题，组织开展主题活动。</w:t>
      </w:r>
      <w:r>
        <w:rPr>
          <w:rFonts w:hint="eastAsia" w:ascii="仿宋" w:hAnsi="仿宋" w:eastAsia="仿宋"/>
          <w:b/>
          <w:sz w:val="32"/>
          <w:szCs w:val="32"/>
        </w:rPr>
        <w:t>二是</w:t>
      </w:r>
      <w:r>
        <w:rPr>
          <w:rFonts w:hint="eastAsia" w:ascii="仿宋" w:hAnsi="仿宋" w:eastAsia="仿宋" w:cs="宋体"/>
          <w:kern w:val="0"/>
          <w:sz w:val="32"/>
          <w:szCs w:val="32"/>
        </w:rPr>
        <w:t>通过会议培训、现场咨询、设置宣传栏、发放知识读本和宣传资料等多种形式开展食品药品安全科普宣传活动。</w:t>
      </w:r>
      <w:r>
        <w:rPr>
          <w:rFonts w:hint="eastAsia" w:ascii="仿宋" w:hAnsi="仿宋" w:eastAsia="仿宋" w:cs="宋体"/>
          <w:b/>
          <w:kern w:val="0"/>
          <w:sz w:val="32"/>
          <w:szCs w:val="32"/>
        </w:rPr>
        <w:t>三是</w:t>
      </w:r>
      <w:r>
        <w:rPr>
          <w:rFonts w:hint="eastAsia" w:ascii="仿宋" w:hAnsi="仿宋" w:eastAsia="仿宋" w:cs="宋体"/>
          <w:kern w:val="0"/>
          <w:sz w:val="32"/>
          <w:szCs w:val="32"/>
        </w:rPr>
        <w:t>依托新闻媒体发挥广播、电视、报刊、网络等宣传载体，及时发布食品药品安全预警和监管信息，切实提高公众食品药品安全意识和维权意识，营造人人关注、积极参与食品药品安全的良好氛围。</w:t>
      </w:r>
    </w:p>
    <w:bookmarkEnd w:id="24"/>
    <w:p>
      <w:pPr>
        <w:spacing w:line="576" w:lineRule="exact"/>
        <w:ind w:firstLine="640" w:firstLineChars="200"/>
        <w:rPr>
          <w:rFonts w:ascii="黑体" w:eastAsia="黑体"/>
          <w:sz w:val="32"/>
          <w:szCs w:val="32"/>
        </w:rPr>
      </w:pPr>
      <w:bookmarkStart w:id="26" w:name="_Toc443517711"/>
      <w:r>
        <w:rPr>
          <w:rFonts w:hint="eastAsia" w:ascii="黑体" w:eastAsia="黑体"/>
          <w:sz w:val="32"/>
          <w:szCs w:val="32"/>
        </w:rPr>
        <w:t>五、保障措施</w:t>
      </w:r>
    </w:p>
    <w:p>
      <w:pPr>
        <w:spacing w:line="576" w:lineRule="exact"/>
        <w:ind w:firstLine="643" w:firstLineChars="200"/>
        <w:rPr>
          <w:rFonts w:ascii="楷体" w:hAnsi="楷体" w:eastAsia="楷体"/>
          <w:b/>
          <w:sz w:val="32"/>
          <w:szCs w:val="32"/>
        </w:rPr>
      </w:pPr>
      <w:r>
        <w:rPr>
          <w:rFonts w:hint="eastAsia" w:ascii="楷体" w:hAnsi="楷体" w:eastAsia="楷体"/>
          <w:b/>
          <w:sz w:val="32"/>
          <w:szCs w:val="32"/>
        </w:rPr>
        <w:t>（一）加强组织领导</w:t>
      </w:r>
      <w:r>
        <w:rPr>
          <w:rFonts w:hint="eastAsia" w:ascii="楷体" w:hAnsi="楷体" w:eastAsia="楷体"/>
          <w:b/>
          <w:sz w:val="32"/>
          <w:szCs w:val="32"/>
          <w:lang w:eastAsia="zh-CN"/>
        </w:rPr>
        <w:t>。</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要高度重视食品药品安全工作，加强组织领导，将食品药品安全工作纳入议事日程与各项民生保障工作同步进行。要建立责权明晰的责任体系，对照本《规划》确定的发展目标、主要任务和重点工程，认真梳理、周密部署，并结合工作实际，将《规划》内容纳入年度工作计划分步实施，确保各项工作目标如期推进、全面落实。</w:t>
      </w:r>
    </w:p>
    <w:p>
      <w:pPr>
        <w:spacing w:line="576" w:lineRule="exact"/>
        <w:ind w:firstLine="643" w:firstLineChars="200"/>
        <w:rPr>
          <w:rFonts w:ascii="楷体" w:hAnsi="楷体" w:eastAsia="楷体"/>
          <w:b/>
          <w:sz w:val="32"/>
          <w:szCs w:val="32"/>
        </w:rPr>
      </w:pPr>
      <w:r>
        <w:rPr>
          <w:rFonts w:hint="eastAsia" w:ascii="楷体" w:hAnsi="楷体" w:eastAsia="楷体"/>
          <w:b/>
          <w:sz w:val="32"/>
          <w:szCs w:val="32"/>
        </w:rPr>
        <w:t>（二）加大经费投入</w:t>
      </w:r>
      <w:r>
        <w:rPr>
          <w:rFonts w:hint="eastAsia" w:ascii="楷体" w:hAnsi="楷体" w:eastAsia="楷体"/>
          <w:b/>
          <w:sz w:val="32"/>
          <w:szCs w:val="32"/>
          <w:lang w:eastAsia="zh-CN"/>
        </w:rPr>
        <w:t>。</w:t>
      </w:r>
    </w:p>
    <w:p>
      <w:pPr>
        <w:spacing w:line="576" w:lineRule="exact"/>
        <w:ind w:firstLine="640" w:firstLineChars="200"/>
        <w:rPr>
          <w:rFonts w:ascii="仿宋" w:hAnsi="仿宋" w:eastAsia="仿宋" w:cs="仿宋"/>
          <w:b/>
          <w:sz w:val="32"/>
          <w:szCs w:val="32"/>
        </w:rPr>
      </w:pPr>
      <w:r>
        <w:rPr>
          <w:rFonts w:hint="eastAsia" w:ascii="仿宋" w:hAnsi="仿宋" w:eastAsia="仿宋" w:cs="仿宋"/>
          <w:sz w:val="32"/>
          <w:szCs w:val="32"/>
        </w:rPr>
        <w:t>要适应食品药品安全发展形势的需要，在合理利用现有资源的基础上，继续加大财政经费的投入力度，增加食品药品监管必需的装备、改善食品药品监管部门的工作条件，建立与辖区食品药品安全监管任务相匹配的财政经费保障机制。同时要严格监督管理项目实施经费，确保资金高效、合理使用，确保重点实施项目按时保质完成。</w:t>
      </w:r>
    </w:p>
    <w:p>
      <w:pPr>
        <w:spacing w:line="576" w:lineRule="exact"/>
        <w:ind w:firstLine="643" w:firstLineChars="200"/>
        <w:rPr>
          <w:rFonts w:ascii="楷体" w:hAnsi="楷体" w:eastAsia="楷体" w:cs="仿宋"/>
          <w:b/>
          <w:sz w:val="32"/>
          <w:szCs w:val="32"/>
        </w:rPr>
      </w:pPr>
      <w:r>
        <w:rPr>
          <w:rFonts w:hint="eastAsia" w:ascii="楷体" w:hAnsi="楷体" w:eastAsia="楷体" w:cs="仿宋"/>
          <w:b/>
          <w:sz w:val="32"/>
          <w:szCs w:val="32"/>
        </w:rPr>
        <w:t>（三）严格考核评价</w:t>
      </w:r>
      <w:r>
        <w:rPr>
          <w:rFonts w:hint="eastAsia" w:ascii="楷体" w:hAnsi="楷体" w:eastAsia="楷体" w:cs="仿宋"/>
          <w:b/>
          <w:sz w:val="32"/>
          <w:szCs w:val="32"/>
          <w:lang w:eastAsia="zh-CN"/>
        </w:rPr>
        <w:t>。</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要建立完善全区食品药品安全工作考核评价制度，将《规划》明确的工作任务和重点项目纳入年度考核评价范围，</w:t>
      </w:r>
      <w:r>
        <w:rPr>
          <w:rFonts w:hint="eastAsia" w:ascii="仿宋" w:hAnsi="仿宋" w:eastAsia="仿宋" w:cs="宋体"/>
          <w:kern w:val="0"/>
          <w:sz w:val="32"/>
          <w:szCs w:val="32"/>
          <w:shd w:val="clear" w:color="auto" w:fill="FFFFFF"/>
        </w:rPr>
        <w:t>对《规划》执行情况进行中期评估和终期考核，</w:t>
      </w:r>
      <w:r>
        <w:rPr>
          <w:rFonts w:hint="eastAsia" w:ascii="仿宋" w:hAnsi="仿宋" w:eastAsia="仿宋"/>
          <w:sz w:val="32"/>
          <w:szCs w:val="32"/>
        </w:rPr>
        <w:t>及时通报进度，加强督查督办，确保《规划》各项任务落实到位，确保《规划》目标顺利</w:t>
      </w:r>
      <w:bookmarkEnd w:id="16"/>
      <w:bookmarkEnd w:id="26"/>
      <w:r>
        <w:rPr>
          <w:rFonts w:hint="eastAsia" w:ascii="仿宋" w:hAnsi="仿宋" w:eastAsia="仿宋"/>
          <w:sz w:val="32"/>
          <w:szCs w:val="32"/>
        </w:rPr>
        <w:t>实现。</w:t>
      </w:r>
    </w:p>
    <w:p>
      <w:pPr>
        <w:jc w:val="right"/>
      </w:pPr>
    </w:p>
    <w:p>
      <w:pPr>
        <w:jc w:val="right"/>
      </w:pPr>
    </w:p>
    <w:p>
      <w:pPr>
        <w:jc w:val="right"/>
      </w:pPr>
    </w:p>
    <w:p>
      <w:pPr>
        <w:jc w:val="right"/>
      </w:pPr>
    </w:p>
    <w:p>
      <w:pPr>
        <w:jc w:val="right"/>
      </w:pPr>
    </w:p>
    <w:sectPr>
      <w:footerReference r:id="rId4" w:type="default"/>
      <w:footnotePr>
        <w:numRestart w:val="eachPage"/>
      </w:footnotePr>
      <w:pgSz w:w="11906" w:h="16838"/>
      <w:pgMar w:top="1440" w:right="1418" w:bottom="1418"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5" o:spid="_x0000_s1025"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4"/>
                  <w:jc w:val="center"/>
                </w:pPr>
                <w:r>
                  <w:fldChar w:fldCharType="begin"/>
                </w:r>
                <w:r>
                  <w:instrText xml:space="preserve"> PAGE   \* MERGEFORMAT </w:instrText>
                </w:r>
                <w:r>
                  <w:fldChar w:fldCharType="separate"/>
                </w:r>
                <w:r>
                  <w:t>2</w:t>
                </w:r>
                <w:r>
                  <w:fldChar w:fldCharType="end"/>
                </w: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jc w:val="center"/>
                </w:pPr>
                <w:r>
                  <w:fldChar w:fldCharType="begin"/>
                </w:r>
                <w:r>
                  <w:instrText xml:space="preserve"> PAGE   \* MERGEFORMAT </w:instrText>
                </w:r>
                <w:r>
                  <w:fldChar w:fldCharType="separate"/>
                </w:r>
                <w:r>
                  <w:t>1</w:t>
                </w:r>
                <w: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4441D4"/>
    <w:rsid w:val="00027018"/>
    <w:rsid w:val="00047596"/>
    <w:rsid w:val="0007690F"/>
    <w:rsid w:val="000F3160"/>
    <w:rsid w:val="0011230E"/>
    <w:rsid w:val="001301F1"/>
    <w:rsid w:val="001D26B6"/>
    <w:rsid w:val="001D6AEC"/>
    <w:rsid w:val="002643B2"/>
    <w:rsid w:val="00283EC8"/>
    <w:rsid w:val="0029443E"/>
    <w:rsid w:val="002976D9"/>
    <w:rsid w:val="002A1E82"/>
    <w:rsid w:val="002A7FC5"/>
    <w:rsid w:val="0030717D"/>
    <w:rsid w:val="0034032B"/>
    <w:rsid w:val="00351914"/>
    <w:rsid w:val="0036456F"/>
    <w:rsid w:val="004441D4"/>
    <w:rsid w:val="00453AA3"/>
    <w:rsid w:val="004B068C"/>
    <w:rsid w:val="004C29DA"/>
    <w:rsid w:val="004D0FD1"/>
    <w:rsid w:val="004E7033"/>
    <w:rsid w:val="00541883"/>
    <w:rsid w:val="0054302A"/>
    <w:rsid w:val="0055674E"/>
    <w:rsid w:val="005A17FE"/>
    <w:rsid w:val="005A2326"/>
    <w:rsid w:val="005D55E8"/>
    <w:rsid w:val="0061518D"/>
    <w:rsid w:val="006353C5"/>
    <w:rsid w:val="006E5F38"/>
    <w:rsid w:val="007119E5"/>
    <w:rsid w:val="00730856"/>
    <w:rsid w:val="007461AD"/>
    <w:rsid w:val="00784403"/>
    <w:rsid w:val="007B0772"/>
    <w:rsid w:val="007F08EE"/>
    <w:rsid w:val="009252F0"/>
    <w:rsid w:val="0092781B"/>
    <w:rsid w:val="009511EB"/>
    <w:rsid w:val="00955DEC"/>
    <w:rsid w:val="0096030A"/>
    <w:rsid w:val="00A610FF"/>
    <w:rsid w:val="00AA4A23"/>
    <w:rsid w:val="00AC2A27"/>
    <w:rsid w:val="00AC72E5"/>
    <w:rsid w:val="00B07C58"/>
    <w:rsid w:val="00B57497"/>
    <w:rsid w:val="00C504D7"/>
    <w:rsid w:val="00CC19C4"/>
    <w:rsid w:val="00D30FC0"/>
    <w:rsid w:val="00D41287"/>
    <w:rsid w:val="00DB04AB"/>
    <w:rsid w:val="00E7209F"/>
    <w:rsid w:val="00E90595"/>
    <w:rsid w:val="11817206"/>
    <w:rsid w:val="258222AF"/>
    <w:rsid w:val="289A2009"/>
    <w:rsid w:val="2A546F46"/>
    <w:rsid w:val="2C2C770E"/>
    <w:rsid w:val="32C73890"/>
    <w:rsid w:val="399E6D47"/>
    <w:rsid w:val="475D3771"/>
    <w:rsid w:val="47B62F06"/>
    <w:rsid w:val="48912AFF"/>
    <w:rsid w:val="48E06EB1"/>
    <w:rsid w:val="510444DF"/>
    <w:rsid w:val="57935517"/>
    <w:rsid w:val="5D185E49"/>
    <w:rsid w:val="6815234E"/>
    <w:rsid w:val="68B568E2"/>
    <w:rsid w:val="6F1C1F66"/>
    <w:rsid w:val="6FE062D7"/>
    <w:rsid w:val="71AA4F2A"/>
    <w:rsid w:val="723559A3"/>
    <w:rsid w:val="7612672A"/>
    <w:rsid w:val="76C56EB1"/>
    <w:rsid w:val="78072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oc 2"/>
    <w:basedOn w:val="1"/>
    <w:next w:val="1"/>
    <w:qFormat/>
    <w:uiPriority w:val="0"/>
    <w:pPr>
      <w:widowControl/>
      <w:spacing w:after="100" w:line="276" w:lineRule="auto"/>
      <w:ind w:left="220"/>
      <w:jc w:val="left"/>
    </w:pPr>
    <w:rPr>
      <w:kern w:val="0"/>
      <w:sz w:val="22"/>
    </w:rPr>
  </w:style>
  <w:style w:type="character" w:styleId="8">
    <w:name w:val="Hyperlink"/>
    <w:qFormat/>
    <w:uiPriority w:val="0"/>
    <w:rPr>
      <w:color w:val="0000FF"/>
      <w:u w:val="single"/>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CAB86-0779-4F97-9705-FB97CAC17A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1457</Words>
  <Characters>8305</Characters>
  <Lines>69</Lines>
  <Paragraphs>19</Paragraphs>
  <TotalTime>0</TotalTime>
  <ScaleCrop>false</ScaleCrop>
  <LinksUpToDate>false</LinksUpToDate>
  <CharactersWithSpaces>9743</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2017-11-26T11:04:00Z</dcterms:created>
  <dc:creator>User</dc:creator>
  <cp:lastModifiedBy>Rothstan</cp:lastModifiedBy>
  <cp:lastPrinted>2017-11-29T00:48:00Z</cp:lastPrinted>
  <dcterms:modified xsi:type="dcterms:W3CDTF">2017-12-07T06:06:51Z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